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01449" w14:textId="77777777" w:rsidR="00267775" w:rsidRPr="007D6B8F" w:rsidRDefault="00855E5F" w:rsidP="00855E5F">
      <w:pPr>
        <w:ind w:left="4956" w:firstLine="708"/>
        <w:jc w:val="center"/>
        <w:rPr>
          <w:b/>
          <w:sz w:val="28"/>
          <w:szCs w:val="28"/>
        </w:rPr>
      </w:pPr>
      <w:r w:rsidRPr="007D6B8F">
        <w:rPr>
          <w:b/>
          <w:sz w:val="28"/>
          <w:szCs w:val="28"/>
        </w:rPr>
        <w:t>Allegato A</w:t>
      </w:r>
    </w:p>
    <w:p w14:paraId="74873578" w14:textId="77777777" w:rsidR="00267775" w:rsidRDefault="00267775" w:rsidP="00466E7D">
      <w:pPr>
        <w:jc w:val="center"/>
        <w:rPr>
          <w:sz w:val="40"/>
          <w:szCs w:val="40"/>
        </w:rPr>
      </w:pPr>
    </w:p>
    <w:p w14:paraId="021B2D97" w14:textId="77777777" w:rsidR="00267775" w:rsidRDefault="00267775" w:rsidP="00466E7D">
      <w:pPr>
        <w:jc w:val="center"/>
        <w:rPr>
          <w:sz w:val="40"/>
          <w:szCs w:val="40"/>
        </w:rPr>
      </w:pPr>
    </w:p>
    <w:p w14:paraId="67B0AA08" w14:textId="77777777" w:rsidR="00267775" w:rsidRDefault="00267775" w:rsidP="00466E7D">
      <w:pPr>
        <w:jc w:val="center"/>
        <w:rPr>
          <w:sz w:val="40"/>
          <w:szCs w:val="40"/>
        </w:rPr>
      </w:pPr>
    </w:p>
    <w:p w14:paraId="7F77ED3D" w14:textId="77777777" w:rsidR="00466E7D" w:rsidRPr="00267775" w:rsidRDefault="005F3EBC" w:rsidP="00466E7D">
      <w:pPr>
        <w:jc w:val="center"/>
        <w:rPr>
          <w:sz w:val="40"/>
          <w:szCs w:val="40"/>
        </w:rPr>
      </w:pPr>
      <w:r>
        <w:rPr>
          <w:sz w:val="40"/>
          <w:szCs w:val="40"/>
        </w:rPr>
        <w:t>Regione</w:t>
      </w:r>
      <w:r w:rsidR="00466E7D" w:rsidRPr="00267775">
        <w:rPr>
          <w:sz w:val="40"/>
          <w:szCs w:val="40"/>
        </w:rPr>
        <w:t xml:space="preserve"> Basilicata –Anno 2025 </w:t>
      </w:r>
    </w:p>
    <w:p w14:paraId="36D5496D" w14:textId="77777777" w:rsidR="00702A33" w:rsidRDefault="00FB122B" w:rsidP="001A3D3B">
      <w:pPr>
        <w:jc w:val="center"/>
        <w:rPr>
          <w:sz w:val="36"/>
          <w:szCs w:val="36"/>
        </w:rPr>
      </w:pPr>
      <w:r>
        <w:rPr>
          <w:sz w:val="36"/>
          <w:szCs w:val="36"/>
        </w:rPr>
        <w:t>Piano</w:t>
      </w:r>
      <w:r w:rsidR="0069305B" w:rsidRPr="00267775">
        <w:rPr>
          <w:sz w:val="36"/>
          <w:szCs w:val="36"/>
        </w:rPr>
        <w:t xml:space="preserve"> Regionale Governo delle Liste d’Attesa</w:t>
      </w:r>
    </w:p>
    <w:p w14:paraId="2F6EB5A3" w14:textId="77777777" w:rsidR="00244475" w:rsidRPr="00267775" w:rsidRDefault="00702A33" w:rsidP="001A3D3B">
      <w:pPr>
        <w:jc w:val="center"/>
        <w:rPr>
          <w:sz w:val="36"/>
          <w:szCs w:val="36"/>
        </w:rPr>
      </w:pPr>
      <w:r>
        <w:rPr>
          <w:sz w:val="36"/>
          <w:szCs w:val="36"/>
        </w:rPr>
        <w:t>Sezione specialistica ambulatoriale</w:t>
      </w:r>
      <w:r w:rsidR="0069305B" w:rsidRPr="00267775">
        <w:rPr>
          <w:sz w:val="36"/>
          <w:szCs w:val="36"/>
        </w:rPr>
        <w:t xml:space="preserve"> </w:t>
      </w:r>
    </w:p>
    <w:p w14:paraId="453AFC4A" w14:textId="77777777" w:rsidR="00466E7D" w:rsidRPr="00055EB8" w:rsidRDefault="00466E7D" w:rsidP="006D5EA8">
      <w:pPr>
        <w:jc w:val="both"/>
        <w:rPr>
          <w:sz w:val="36"/>
          <w:szCs w:val="36"/>
        </w:rPr>
      </w:pPr>
      <w:r w:rsidRPr="00267775">
        <w:rPr>
          <w:sz w:val="36"/>
          <w:szCs w:val="36"/>
        </w:rPr>
        <w:t xml:space="preserve">(ex art. 2 c. 5 </w:t>
      </w:r>
      <w:r w:rsidR="00403870">
        <w:rPr>
          <w:sz w:val="36"/>
          <w:szCs w:val="36"/>
        </w:rPr>
        <w:t xml:space="preserve"> del </w:t>
      </w:r>
      <w:r w:rsidRPr="00267775">
        <w:rPr>
          <w:sz w:val="36"/>
          <w:szCs w:val="36"/>
        </w:rPr>
        <w:t>D.L. n.73/2024 coordinato con la Legge di conversione n. 107 del 29 Luglio 2024</w:t>
      </w:r>
      <w:r w:rsidR="006D5EA8">
        <w:rPr>
          <w:sz w:val="36"/>
          <w:szCs w:val="36"/>
        </w:rPr>
        <w:t xml:space="preserve"> </w:t>
      </w:r>
      <w:r w:rsidR="00403870">
        <w:rPr>
          <w:sz w:val="36"/>
          <w:szCs w:val="36"/>
        </w:rPr>
        <w:t>,</w:t>
      </w:r>
      <w:r w:rsidR="006D5EA8">
        <w:rPr>
          <w:sz w:val="36"/>
          <w:szCs w:val="36"/>
        </w:rPr>
        <w:t xml:space="preserve"> del </w:t>
      </w:r>
      <w:r w:rsidR="006D7112" w:rsidRPr="00267775">
        <w:rPr>
          <w:sz w:val="36"/>
          <w:szCs w:val="36"/>
        </w:rPr>
        <w:t>PNGLA 2019-2021</w:t>
      </w:r>
      <w:r w:rsidR="006D5EA8">
        <w:rPr>
          <w:sz w:val="36"/>
          <w:szCs w:val="36"/>
        </w:rPr>
        <w:t xml:space="preserve"> e</w:t>
      </w:r>
      <w:r w:rsidR="00403870">
        <w:rPr>
          <w:sz w:val="36"/>
          <w:szCs w:val="36"/>
        </w:rPr>
        <w:t xml:space="preserve"> </w:t>
      </w:r>
      <w:r w:rsidR="006D5EA8">
        <w:rPr>
          <w:sz w:val="36"/>
          <w:szCs w:val="36"/>
        </w:rPr>
        <w:t xml:space="preserve"> </w:t>
      </w:r>
      <w:r w:rsidR="00055EB8">
        <w:rPr>
          <w:sz w:val="36"/>
          <w:szCs w:val="36"/>
        </w:rPr>
        <w:t xml:space="preserve"> della bozza del </w:t>
      </w:r>
      <w:r w:rsidR="006D5EA8" w:rsidRPr="00055EB8">
        <w:rPr>
          <w:sz w:val="36"/>
          <w:szCs w:val="36"/>
        </w:rPr>
        <w:t xml:space="preserve"> </w:t>
      </w:r>
      <w:r w:rsidRPr="00055EB8">
        <w:rPr>
          <w:sz w:val="36"/>
          <w:szCs w:val="36"/>
        </w:rPr>
        <w:t>PNGLA 2025-2027</w:t>
      </w:r>
      <w:r w:rsidR="006D5EA8" w:rsidRPr="00055EB8">
        <w:rPr>
          <w:sz w:val="36"/>
          <w:szCs w:val="36"/>
        </w:rPr>
        <w:t xml:space="preserve"> </w:t>
      </w:r>
      <w:r w:rsidR="006D5EA8" w:rsidRPr="00055EB8">
        <w:t>(</w:t>
      </w:r>
      <w:r w:rsidR="00055EB8">
        <w:t xml:space="preserve"> </w:t>
      </w:r>
      <w:r w:rsidRPr="00055EB8">
        <w:rPr>
          <w:rFonts w:ascii="Times New Roman" w:hAnsi="Times New Roman" w:cs="Times New Roman"/>
          <w:sz w:val="23"/>
          <w:szCs w:val="23"/>
        </w:rPr>
        <w:t xml:space="preserve">Intesa, ai sensi dell'articolo 8, comma 6, della legge 5 giugno 2003, n.131, tra il Governo, le Regioni e le Province autonome di Trento e di Bolzano sullo schema di decreto del Ministro della Salute recante l'adozione del </w:t>
      </w:r>
      <w:r w:rsidR="00FB122B" w:rsidRPr="00055EB8">
        <w:rPr>
          <w:rFonts w:ascii="Times New Roman" w:hAnsi="Times New Roman" w:cs="Times New Roman"/>
          <w:sz w:val="23"/>
          <w:szCs w:val="23"/>
        </w:rPr>
        <w:t>Piano</w:t>
      </w:r>
      <w:r w:rsidRPr="00055EB8">
        <w:rPr>
          <w:rFonts w:ascii="Times New Roman" w:hAnsi="Times New Roman" w:cs="Times New Roman"/>
          <w:sz w:val="23"/>
          <w:szCs w:val="23"/>
        </w:rPr>
        <w:t xml:space="preserve"> Nazionale di Governo delle Liste d'Attesa 2025-2027 e i relativi allegati A, B, D, E, F, G, H, I, </w:t>
      </w:r>
      <w:r w:rsidRPr="00055EB8">
        <w:rPr>
          <w:rFonts w:ascii="Arial" w:hAnsi="Arial" w:cs="Arial"/>
          <w:sz w:val="23"/>
          <w:szCs w:val="23"/>
        </w:rPr>
        <w:t>L.</w:t>
      </w:r>
      <w:r w:rsidR="006D5EA8" w:rsidRPr="00055EB8">
        <w:rPr>
          <w:rFonts w:ascii="Arial" w:hAnsi="Arial" w:cs="Arial"/>
          <w:sz w:val="23"/>
          <w:szCs w:val="23"/>
        </w:rPr>
        <w:t xml:space="preserve">; </w:t>
      </w:r>
      <w:r w:rsidR="00055EB8">
        <w:rPr>
          <w:rFonts w:ascii="Arial" w:hAnsi="Arial" w:cs="Arial"/>
          <w:sz w:val="23"/>
          <w:szCs w:val="23"/>
        </w:rPr>
        <w:t xml:space="preserve"> </w:t>
      </w:r>
      <w:r w:rsidRPr="00055EB8">
        <w:rPr>
          <w:rFonts w:ascii="Times New Roman" w:hAnsi="Times New Roman" w:cs="Times New Roman"/>
          <w:sz w:val="23"/>
          <w:szCs w:val="23"/>
        </w:rPr>
        <w:t xml:space="preserve">Intesa, ai sensi dell'articolo 3, comma 5 del decreto - legge 7 giugno 2024, n.73, convertito con modificazioni dalla legge 29 luglio 2024, n.107, sullo schema di decreto del Ministro della Salute recante l'adozione del </w:t>
      </w:r>
      <w:r w:rsidR="00FB122B" w:rsidRPr="00055EB8">
        <w:rPr>
          <w:rFonts w:ascii="Times New Roman" w:hAnsi="Times New Roman" w:cs="Times New Roman"/>
          <w:sz w:val="23"/>
          <w:szCs w:val="23"/>
        </w:rPr>
        <w:t>Piano</w:t>
      </w:r>
      <w:r w:rsidRPr="00055EB8">
        <w:rPr>
          <w:rFonts w:ascii="Times New Roman" w:hAnsi="Times New Roman" w:cs="Times New Roman"/>
          <w:sz w:val="23"/>
          <w:szCs w:val="23"/>
        </w:rPr>
        <w:t xml:space="preserve"> Nazionale di Governo delle Liste d'Attesa 2025- 2027 e il relativo allegato C</w:t>
      </w:r>
      <w:r w:rsidR="006D5EA8" w:rsidRPr="00055EB8">
        <w:rPr>
          <w:rFonts w:ascii="Times New Roman" w:hAnsi="Times New Roman" w:cs="Times New Roman"/>
          <w:sz w:val="23"/>
          <w:szCs w:val="23"/>
        </w:rPr>
        <w:t>)</w:t>
      </w:r>
      <w:r w:rsidRPr="00055EB8">
        <w:rPr>
          <w:rFonts w:ascii="Times New Roman" w:hAnsi="Times New Roman" w:cs="Times New Roman"/>
          <w:sz w:val="23"/>
          <w:szCs w:val="23"/>
        </w:rPr>
        <w:t>.</w:t>
      </w:r>
      <w:r w:rsidRPr="00055EB8">
        <w:rPr>
          <w:sz w:val="40"/>
          <w:szCs w:val="40"/>
        </w:rPr>
        <w:t xml:space="preserve"> </w:t>
      </w:r>
    </w:p>
    <w:p w14:paraId="02ED8711" w14:textId="77777777" w:rsidR="004770A7" w:rsidRPr="00055EB8" w:rsidRDefault="004770A7" w:rsidP="006D5EA8">
      <w:pPr>
        <w:jc w:val="both"/>
        <w:rPr>
          <w:sz w:val="40"/>
          <w:szCs w:val="40"/>
        </w:rPr>
      </w:pPr>
    </w:p>
    <w:p w14:paraId="6D634508" w14:textId="77777777" w:rsidR="004770A7" w:rsidRPr="00055EB8" w:rsidRDefault="004770A7" w:rsidP="001A3D3B">
      <w:pPr>
        <w:jc w:val="both"/>
        <w:rPr>
          <w:color w:val="0070C0"/>
        </w:rPr>
      </w:pPr>
    </w:p>
    <w:p w14:paraId="145C240B" w14:textId="77777777" w:rsidR="00466E7D" w:rsidRPr="00055EB8" w:rsidRDefault="00466E7D" w:rsidP="001A3D3B">
      <w:pPr>
        <w:jc w:val="both"/>
        <w:rPr>
          <w:color w:val="0070C0"/>
        </w:rPr>
      </w:pPr>
    </w:p>
    <w:p w14:paraId="2DDF8633" w14:textId="77777777" w:rsidR="00466E7D" w:rsidRPr="00055EB8" w:rsidRDefault="00466E7D" w:rsidP="00267775">
      <w:pPr>
        <w:jc w:val="center"/>
        <w:rPr>
          <w:color w:val="0070C0"/>
        </w:rPr>
      </w:pPr>
    </w:p>
    <w:p w14:paraId="732C21F3" w14:textId="77777777" w:rsidR="00466E7D" w:rsidRDefault="00466E7D" w:rsidP="001A3D3B">
      <w:pPr>
        <w:jc w:val="both"/>
        <w:rPr>
          <w:color w:val="0070C0"/>
          <w:highlight w:val="yellow"/>
        </w:rPr>
      </w:pPr>
    </w:p>
    <w:p w14:paraId="7F1F55CB" w14:textId="77777777" w:rsidR="00466E7D" w:rsidRDefault="00466E7D" w:rsidP="001A3D3B">
      <w:pPr>
        <w:jc w:val="both"/>
        <w:rPr>
          <w:color w:val="0070C0"/>
          <w:highlight w:val="yellow"/>
        </w:rPr>
      </w:pPr>
    </w:p>
    <w:p w14:paraId="702B49F3" w14:textId="77777777" w:rsidR="00466E7D" w:rsidRDefault="00466E7D" w:rsidP="001A3D3B">
      <w:pPr>
        <w:jc w:val="both"/>
        <w:rPr>
          <w:color w:val="0070C0"/>
          <w:highlight w:val="yellow"/>
        </w:rPr>
      </w:pPr>
    </w:p>
    <w:p w14:paraId="47C0DD32" w14:textId="77777777" w:rsidR="00466E7D" w:rsidRDefault="00466E7D" w:rsidP="001A3D3B">
      <w:pPr>
        <w:jc w:val="both"/>
        <w:rPr>
          <w:color w:val="0070C0"/>
          <w:highlight w:val="yellow"/>
        </w:rPr>
      </w:pPr>
    </w:p>
    <w:p w14:paraId="4CF2B2FC" w14:textId="77777777" w:rsidR="00466E7D" w:rsidRDefault="00466E7D" w:rsidP="001A3D3B">
      <w:pPr>
        <w:jc w:val="both"/>
        <w:rPr>
          <w:color w:val="0070C0"/>
          <w:highlight w:val="yellow"/>
        </w:rPr>
      </w:pPr>
    </w:p>
    <w:p w14:paraId="15C95600" w14:textId="77777777" w:rsidR="00466E7D" w:rsidRDefault="00466E7D" w:rsidP="001A3D3B">
      <w:pPr>
        <w:jc w:val="both"/>
        <w:rPr>
          <w:color w:val="0070C0"/>
          <w:highlight w:val="yellow"/>
        </w:rPr>
      </w:pPr>
    </w:p>
    <w:p w14:paraId="67F4F96B" w14:textId="77777777" w:rsidR="00466E7D" w:rsidRDefault="00466E7D" w:rsidP="001A3D3B">
      <w:pPr>
        <w:jc w:val="both"/>
        <w:rPr>
          <w:color w:val="0070C0"/>
          <w:highlight w:val="yellow"/>
        </w:rPr>
      </w:pPr>
    </w:p>
    <w:p w14:paraId="3C115949" w14:textId="77777777" w:rsidR="00466E7D" w:rsidRDefault="00466E7D" w:rsidP="001A3D3B">
      <w:pPr>
        <w:jc w:val="both"/>
        <w:rPr>
          <w:color w:val="0070C0"/>
          <w:highlight w:val="yellow"/>
        </w:rPr>
      </w:pPr>
    </w:p>
    <w:p w14:paraId="009B1014" w14:textId="77777777" w:rsidR="00466E7D" w:rsidRDefault="00466E7D" w:rsidP="001A3D3B">
      <w:pPr>
        <w:jc w:val="both"/>
        <w:rPr>
          <w:color w:val="0070C0"/>
          <w:highlight w:val="yellow"/>
        </w:rPr>
      </w:pPr>
    </w:p>
    <w:p w14:paraId="57C4787A" w14:textId="77777777" w:rsidR="00C35108" w:rsidRPr="00267775" w:rsidRDefault="0069305B" w:rsidP="009941D8">
      <w:pPr>
        <w:pStyle w:val="Paragrafoelenco"/>
        <w:numPr>
          <w:ilvl w:val="0"/>
          <w:numId w:val="24"/>
        </w:numPr>
        <w:spacing w:line="360" w:lineRule="auto"/>
        <w:jc w:val="both"/>
      </w:pPr>
      <w:r w:rsidRPr="00267775">
        <w:lastRenderedPageBreak/>
        <w:t>Introduzione</w:t>
      </w:r>
      <w:r w:rsidRPr="00267775">
        <w:tab/>
      </w:r>
    </w:p>
    <w:p w14:paraId="274EB66A" w14:textId="77777777" w:rsidR="0069305B" w:rsidRPr="00267775" w:rsidRDefault="0069305B" w:rsidP="009941D8">
      <w:pPr>
        <w:pStyle w:val="Paragrafoelenco"/>
        <w:numPr>
          <w:ilvl w:val="1"/>
          <w:numId w:val="25"/>
        </w:numPr>
        <w:spacing w:line="360" w:lineRule="auto"/>
        <w:jc w:val="both"/>
      </w:pPr>
      <w:r w:rsidRPr="00267775">
        <w:t>Tempi massimi di attesa delle prestazioni ambulatoriali</w:t>
      </w:r>
      <w:r w:rsidRPr="00267775">
        <w:tab/>
      </w:r>
    </w:p>
    <w:p w14:paraId="11B8DA80" w14:textId="77777777" w:rsidR="0069305B" w:rsidRPr="00267775" w:rsidRDefault="00C35108" w:rsidP="009941D8">
      <w:pPr>
        <w:spacing w:line="360" w:lineRule="auto"/>
        <w:ind w:left="360"/>
        <w:jc w:val="both"/>
      </w:pPr>
      <w:r w:rsidRPr="00267775">
        <w:t xml:space="preserve">1.2 </w:t>
      </w:r>
      <w:r w:rsidR="0069305B" w:rsidRPr="00267775">
        <w:t>Tempi massimi di attesa di tutte le prestazioni di chirurgia transitate al regime ambulatoriale</w:t>
      </w:r>
      <w:r w:rsidR="0069305B" w:rsidRPr="00267775">
        <w:tab/>
      </w:r>
    </w:p>
    <w:p w14:paraId="7BA319BE" w14:textId="77777777" w:rsidR="00C35108" w:rsidRPr="00267775" w:rsidRDefault="0069305B" w:rsidP="009941D8">
      <w:pPr>
        <w:pStyle w:val="Paragrafoelenco"/>
        <w:numPr>
          <w:ilvl w:val="0"/>
          <w:numId w:val="26"/>
        </w:numPr>
        <w:spacing w:line="360" w:lineRule="auto"/>
        <w:ind w:left="284"/>
        <w:jc w:val="both"/>
      </w:pPr>
      <w:r w:rsidRPr="00267775">
        <w:t>Apertura delle strutture anche nelle ore serali e durante il fine settimana</w:t>
      </w:r>
      <w:r w:rsidRPr="00267775">
        <w:tab/>
      </w:r>
    </w:p>
    <w:p w14:paraId="3B1F8589" w14:textId="77777777" w:rsidR="00C35108" w:rsidRPr="00267775" w:rsidRDefault="0069305B" w:rsidP="009941D8">
      <w:pPr>
        <w:pStyle w:val="Paragrafoelenco"/>
        <w:numPr>
          <w:ilvl w:val="0"/>
          <w:numId w:val="26"/>
        </w:numPr>
        <w:spacing w:line="360" w:lineRule="auto"/>
        <w:ind w:left="284"/>
        <w:jc w:val="both"/>
      </w:pPr>
      <w:r w:rsidRPr="00267775">
        <w:t>Utilizzo delle grandi apparecchiature di diagnostica per immagini</w:t>
      </w:r>
      <w:r w:rsidRPr="00267775">
        <w:tab/>
      </w:r>
    </w:p>
    <w:p w14:paraId="4352A7D2" w14:textId="77777777" w:rsidR="00C35108" w:rsidRPr="00267775" w:rsidRDefault="0069305B" w:rsidP="009941D8">
      <w:pPr>
        <w:pStyle w:val="Paragrafoelenco"/>
        <w:numPr>
          <w:ilvl w:val="0"/>
          <w:numId w:val="26"/>
        </w:numPr>
        <w:spacing w:line="360" w:lineRule="auto"/>
        <w:ind w:left="284"/>
        <w:jc w:val="both"/>
      </w:pPr>
      <w:r w:rsidRPr="00267775">
        <w:t>Elenco delle prestazioni diagnostiche, terapeutiche e riabilitative di assistenza specialistica ambulatoriale soggette a monitoraggio</w:t>
      </w:r>
      <w:r w:rsidRPr="00267775">
        <w:tab/>
      </w:r>
    </w:p>
    <w:p w14:paraId="54FCEEF7" w14:textId="77777777" w:rsidR="00C35108" w:rsidRPr="00267775" w:rsidRDefault="0069305B" w:rsidP="009941D8">
      <w:pPr>
        <w:pStyle w:val="Paragrafoelenco"/>
        <w:numPr>
          <w:ilvl w:val="0"/>
          <w:numId w:val="26"/>
        </w:numPr>
        <w:spacing w:line="360" w:lineRule="auto"/>
        <w:ind w:left="284"/>
        <w:jc w:val="both"/>
      </w:pPr>
      <w:r w:rsidRPr="00267775">
        <w:t>Attività sistematica di valutazione sull’appropriatezza e congruità prescrittiva</w:t>
      </w:r>
      <w:r w:rsidRPr="00267775">
        <w:tab/>
      </w:r>
    </w:p>
    <w:p w14:paraId="0668651B" w14:textId="77777777" w:rsidR="00C35108" w:rsidRPr="00267775" w:rsidRDefault="0069305B" w:rsidP="009941D8">
      <w:pPr>
        <w:pStyle w:val="Paragrafoelenco"/>
        <w:numPr>
          <w:ilvl w:val="0"/>
          <w:numId w:val="26"/>
        </w:numPr>
        <w:spacing w:line="360" w:lineRule="auto"/>
        <w:ind w:left="284"/>
        <w:jc w:val="both"/>
      </w:pPr>
      <w:r w:rsidRPr="00267775">
        <w:t>Validità della priorità di accesso e durata della prescrizione su ricetta SSR</w:t>
      </w:r>
      <w:r w:rsidRPr="00267775">
        <w:tab/>
      </w:r>
    </w:p>
    <w:p w14:paraId="6DFB7B72" w14:textId="77777777" w:rsidR="00C35108" w:rsidRPr="00267775" w:rsidRDefault="0069305B" w:rsidP="009941D8">
      <w:pPr>
        <w:pStyle w:val="Paragrafoelenco"/>
        <w:numPr>
          <w:ilvl w:val="0"/>
          <w:numId w:val="26"/>
        </w:numPr>
        <w:spacing w:line="360" w:lineRule="auto"/>
        <w:ind w:left="284"/>
        <w:jc w:val="both"/>
      </w:pPr>
      <w:r w:rsidRPr="00267775">
        <w:t>Ambito di garanzia territoriale</w:t>
      </w:r>
      <w:r w:rsidRPr="00267775">
        <w:tab/>
      </w:r>
    </w:p>
    <w:p w14:paraId="63BBBEEC" w14:textId="77777777" w:rsidR="00C35108" w:rsidRPr="00267775" w:rsidRDefault="0069305B" w:rsidP="009941D8">
      <w:pPr>
        <w:pStyle w:val="Paragrafoelenco"/>
        <w:numPr>
          <w:ilvl w:val="0"/>
          <w:numId w:val="26"/>
        </w:numPr>
        <w:spacing w:line="360" w:lineRule="auto"/>
        <w:ind w:left="284"/>
        <w:jc w:val="both"/>
      </w:pPr>
      <w:r w:rsidRPr="00267775">
        <w:t>Governo dell’offerta attraverso strumenti finalizzati all’ottimizzazione nell’uso delle risorse disponibili</w:t>
      </w:r>
    </w:p>
    <w:p w14:paraId="34983CFA" w14:textId="77777777" w:rsidR="00C35108" w:rsidRPr="00267775" w:rsidRDefault="0069305B" w:rsidP="009941D8">
      <w:pPr>
        <w:pStyle w:val="Paragrafoelenco"/>
        <w:numPr>
          <w:ilvl w:val="0"/>
          <w:numId w:val="26"/>
        </w:numPr>
        <w:spacing w:line="360" w:lineRule="auto"/>
        <w:ind w:left="284"/>
        <w:jc w:val="both"/>
      </w:pPr>
      <w:r w:rsidRPr="00267775">
        <w:t>Accesso ambulatoriale tramite uso diffuso del CUP</w:t>
      </w:r>
      <w:r w:rsidRPr="00267775">
        <w:tab/>
      </w:r>
    </w:p>
    <w:p w14:paraId="4F68031C" w14:textId="77777777" w:rsidR="00C35108" w:rsidRPr="00267775" w:rsidRDefault="0069305B" w:rsidP="009941D8">
      <w:pPr>
        <w:pStyle w:val="Paragrafoelenco"/>
        <w:numPr>
          <w:ilvl w:val="0"/>
          <w:numId w:val="26"/>
        </w:numPr>
        <w:spacing w:line="360" w:lineRule="auto"/>
        <w:ind w:left="284"/>
        <w:jc w:val="both"/>
      </w:pPr>
      <w:r w:rsidRPr="00267775">
        <w:t>Disdetta delle prenotazioni</w:t>
      </w:r>
      <w:r w:rsidRPr="00267775">
        <w:tab/>
      </w:r>
    </w:p>
    <w:p w14:paraId="644C1D2A" w14:textId="77777777" w:rsidR="00C35108" w:rsidRPr="00267775" w:rsidRDefault="0069305B" w:rsidP="009941D8">
      <w:pPr>
        <w:pStyle w:val="Paragrafoelenco"/>
        <w:numPr>
          <w:ilvl w:val="0"/>
          <w:numId w:val="26"/>
        </w:numPr>
        <w:spacing w:line="360" w:lineRule="auto"/>
        <w:ind w:left="284"/>
        <w:jc w:val="both"/>
      </w:pPr>
      <w:r w:rsidRPr="00267775">
        <w:t>Visibilità delle agende di prenotazione</w:t>
      </w:r>
      <w:r w:rsidRPr="00267775">
        <w:tab/>
      </w:r>
    </w:p>
    <w:p w14:paraId="5707C5D9" w14:textId="77777777" w:rsidR="00C35108" w:rsidRPr="00267775" w:rsidRDefault="0069305B" w:rsidP="009941D8">
      <w:pPr>
        <w:pStyle w:val="Paragrafoelenco"/>
        <w:numPr>
          <w:ilvl w:val="0"/>
          <w:numId w:val="26"/>
        </w:numPr>
        <w:spacing w:line="360" w:lineRule="auto"/>
        <w:ind w:left="284"/>
        <w:jc w:val="both"/>
      </w:pPr>
      <w:r w:rsidRPr="00267775">
        <w:t>RAO e appropriatezza prescrittiva</w:t>
      </w:r>
      <w:r w:rsidRPr="00267775">
        <w:tab/>
      </w:r>
    </w:p>
    <w:p w14:paraId="453CD2D8" w14:textId="77777777" w:rsidR="00C35108" w:rsidRPr="00267775" w:rsidRDefault="0069305B" w:rsidP="009941D8">
      <w:pPr>
        <w:pStyle w:val="Paragrafoelenco"/>
        <w:numPr>
          <w:ilvl w:val="0"/>
          <w:numId w:val="26"/>
        </w:numPr>
        <w:spacing w:line="360" w:lineRule="auto"/>
        <w:ind w:left="284"/>
        <w:jc w:val="both"/>
      </w:pPr>
      <w:r w:rsidRPr="00267775">
        <w:t>Definizione e applicazione di “percorsi di t</w:t>
      </w:r>
      <w:r w:rsidR="00C35108" w:rsidRPr="00267775">
        <w:t>utela”</w:t>
      </w:r>
    </w:p>
    <w:p w14:paraId="49717A5D" w14:textId="77777777" w:rsidR="00C35108" w:rsidRPr="00267775" w:rsidRDefault="00F15158" w:rsidP="009941D8">
      <w:pPr>
        <w:pStyle w:val="Paragrafoelenco"/>
        <w:numPr>
          <w:ilvl w:val="0"/>
          <w:numId w:val="26"/>
        </w:numPr>
        <w:spacing w:line="360" w:lineRule="auto"/>
        <w:ind w:left="284"/>
        <w:jc w:val="both"/>
      </w:pPr>
      <w:r>
        <w:t xml:space="preserve">Le </w:t>
      </w:r>
      <w:proofErr w:type="spellStart"/>
      <w:r>
        <w:t>televisite</w:t>
      </w:r>
      <w:proofErr w:type="spellEnd"/>
      <w:r w:rsidR="00C35108" w:rsidRPr="00267775">
        <w:t xml:space="preserve"> </w:t>
      </w:r>
    </w:p>
    <w:p w14:paraId="67F1577D" w14:textId="77777777" w:rsidR="002851E7" w:rsidRPr="00267775" w:rsidRDefault="00C35108" w:rsidP="009941D8">
      <w:pPr>
        <w:pStyle w:val="Paragrafoelenco"/>
        <w:numPr>
          <w:ilvl w:val="0"/>
          <w:numId w:val="26"/>
        </w:numPr>
        <w:spacing w:line="360" w:lineRule="auto"/>
        <w:ind w:left="284"/>
        <w:jc w:val="both"/>
      </w:pPr>
      <w:r w:rsidRPr="00267775">
        <w:t>Trasmissione</w:t>
      </w:r>
      <w:r w:rsidRPr="00267775">
        <w:tab/>
        <w:t>sistematica</w:t>
      </w:r>
      <w:r w:rsidRPr="00267775">
        <w:tab/>
        <w:t>dei</w:t>
      </w:r>
      <w:r w:rsidRPr="00267775">
        <w:tab/>
        <w:t>flussi</w:t>
      </w:r>
      <w:r w:rsidRPr="00267775">
        <w:tab/>
        <w:t>informativi</w:t>
      </w:r>
      <w:r w:rsidRPr="00267775">
        <w:tab/>
        <w:t>di monitoraggio delle liste e dei tempi d’attesa</w:t>
      </w:r>
    </w:p>
    <w:p w14:paraId="30B649A7" w14:textId="77777777" w:rsidR="00F15158" w:rsidRPr="00F15158" w:rsidRDefault="002851E7" w:rsidP="00CA1618">
      <w:pPr>
        <w:pStyle w:val="Paragrafoelenco"/>
        <w:numPr>
          <w:ilvl w:val="0"/>
          <w:numId w:val="26"/>
        </w:numPr>
        <w:spacing w:line="360" w:lineRule="auto"/>
        <w:ind w:left="284"/>
        <w:jc w:val="both"/>
      </w:pPr>
      <w:r w:rsidRPr="00F15158">
        <w:t xml:space="preserve">Informazione e comunicazione sulle liste di attesa: trasparenza </w:t>
      </w:r>
    </w:p>
    <w:p w14:paraId="5C344D14" w14:textId="77777777" w:rsidR="008061FC" w:rsidRPr="00267775" w:rsidRDefault="002851E7" w:rsidP="00CA1618">
      <w:pPr>
        <w:pStyle w:val="Paragrafoelenco"/>
        <w:numPr>
          <w:ilvl w:val="0"/>
          <w:numId w:val="26"/>
        </w:numPr>
        <w:spacing w:line="360" w:lineRule="auto"/>
        <w:ind w:left="284"/>
        <w:jc w:val="both"/>
      </w:pPr>
      <w:r w:rsidRPr="00267775">
        <w:t>Diritti e doveri de</w:t>
      </w:r>
      <w:r w:rsidR="008061FC" w:rsidRPr="00267775">
        <w:t>l</w:t>
      </w:r>
      <w:r w:rsidRPr="00267775">
        <w:t xml:space="preserve"> cittadin</w:t>
      </w:r>
      <w:r w:rsidR="008061FC" w:rsidRPr="00267775">
        <w:t>o</w:t>
      </w:r>
    </w:p>
    <w:p w14:paraId="2178A50A" w14:textId="77777777" w:rsidR="008061FC" w:rsidRPr="00267775" w:rsidRDefault="008061FC" w:rsidP="009941D8">
      <w:pPr>
        <w:pStyle w:val="Paragrafoelenco"/>
        <w:numPr>
          <w:ilvl w:val="0"/>
          <w:numId w:val="26"/>
        </w:numPr>
        <w:spacing w:line="360" w:lineRule="auto"/>
        <w:ind w:left="284"/>
        <w:jc w:val="both"/>
      </w:pPr>
      <w:r w:rsidRPr="00267775">
        <w:t>Il monitoraggio dei Piani attuativi aziendali (PAA)</w:t>
      </w:r>
    </w:p>
    <w:p w14:paraId="2C60398A" w14:textId="77777777" w:rsidR="008061FC" w:rsidRPr="00267775" w:rsidRDefault="0069305B" w:rsidP="009941D8">
      <w:pPr>
        <w:pStyle w:val="Paragrafoelenco"/>
        <w:numPr>
          <w:ilvl w:val="0"/>
          <w:numId w:val="26"/>
        </w:numPr>
        <w:spacing w:line="360" w:lineRule="auto"/>
        <w:ind w:left="284"/>
        <w:jc w:val="both"/>
      </w:pPr>
      <w:r w:rsidRPr="00267775">
        <w:t>Scadenze</w:t>
      </w:r>
    </w:p>
    <w:p w14:paraId="028C32DC" w14:textId="77777777" w:rsidR="00C35108" w:rsidRPr="00267775" w:rsidRDefault="009941D8" w:rsidP="009941D8">
      <w:pPr>
        <w:pStyle w:val="Paragrafoelenco"/>
        <w:numPr>
          <w:ilvl w:val="0"/>
          <w:numId w:val="26"/>
        </w:numPr>
        <w:spacing w:line="360" w:lineRule="auto"/>
        <w:ind w:left="284"/>
        <w:jc w:val="both"/>
      </w:pPr>
      <w:r w:rsidRPr="00267775">
        <w:t xml:space="preserve">Direttori generali </w:t>
      </w:r>
    </w:p>
    <w:p w14:paraId="681DB181" w14:textId="77777777" w:rsidR="005F1F81" w:rsidRDefault="005F1F81" w:rsidP="009941D8">
      <w:pPr>
        <w:spacing w:line="360" w:lineRule="auto"/>
        <w:jc w:val="both"/>
      </w:pPr>
    </w:p>
    <w:p w14:paraId="059BD06A" w14:textId="77777777" w:rsidR="005F1F81" w:rsidRDefault="005F1F81" w:rsidP="009941D8">
      <w:pPr>
        <w:spacing w:line="360" w:lineRule="auto"/>
        <w:jc w:val="both"/>
      </w:pPr>
    </w:p>
    <w:p w14:paraId="0CBC48A3" w14:textId="77777777" w:rsidR="005F1F81" w:rsidRDefault="005F1F81" w:rsidP="009941D8">
      <w:pPr>
        <w:spacing w:line="360" w:lineRule="auto"/>
        <w:jc w:val="both"/>
      </w:pPr>
    </w:p>
    <w:p w14:paraId="6648A1C1" w14:textId="015EA939" w:rsidR="005F1F81" w:rsidRDefault="005F1F81" w:rsidP="009941D8">
      <w:pPr>
        <w:spacing w:line="360" w:lineRule="auto"/>
        <w:jc w:val="both"/>
      </w:pPr>
    </w:p>
    <w:p w14:paraId="278EA0B6" w14:textId="1EFDC350" w:rsidR="00F37660" w:rsidRDefault="00F37660" w:rsidP="009941D8">
      <w:pPr>
        <w:spacing w:line="360" w:lineRule="auto"/>
        <w:jc w:val="both"/>
      </w:pPr>
    </w:p>
    <w:p w14:paraId="083A96FA" w14:textId="77777777" w:rsidR="00F37660" w:rsidRDefault="00F37660" w:rsidP="009941D8">
      <w:pPr>
        <w:spacing w:line="360" w:lineRule="auto"/>
        <w:jc w:val="both"/>
      </w:pPr>
    </w:p>
    <w:p w14:paraId="02FF25F7" w14:textId="77777777" w:rsidR="0069305B" w:rsidRPr="00C15EB1" w:rsidRDefault="0069305B" w:rsidP="00466E7D">
      <w:pPr>
        <w:pStyle w:val="Paragrafoelenco"/>
        <w:numPr>
          <w:ilvl w:val="0"/>
          <w:numId w:val="6"/>
        </w:numPr>
        <w:jc w:val="both"/>
        <w:rPr>
          <w:b/>
        </w:rPr>
      </w:pPr>
      <w:r w:rsidRPr="00C15EB1">
        <w:rPr>
          <w:b/>
        </w:rPr>
        <w:lastRenderedPageBreak/>
        <w:t>Introduzione</w:t>
      </w:r>
    </w:p>
    <w:p w14:paraId="11601A93" w14:textId="77777777" w:rsidR="00F767FF" w:rsidRPr="00C15EB1" w:rsidRDefault="00F767FF" w:rsidP="009E4DE9">
      <w:pPr>
        <w:jc w:val="both"/>
      </w:pPr>
      <w:r w:rsidRPr="00C15EB1">
        <w:t xml:space="preserve">Con l’approvazione e l’adozione del </w:t>
      </w:r>
      <w:r w:rsidR="00FB122B">
        <w:t>Piano</w:t>
      </w:r>
      <w:r w:rsidRPr="00C15EB1">
        <w:t xml:space="preserve"> Nazionale di Governo delle Liste d’Attesa (PNGLA) 2025-2027,</w:t>
      </w:r>
      <w:r w:rsidR="00267775" w:rsidRPr="00C15EB1">
        <w:t xml:space="preserve"> </w:t>
      </w:r>
      <w:r w:rsidRPr="00C15EB1">
        <w:t>in discussione in conferenza Stato –regioni,</w:t>
      </w:r>
      <w:r w:rsidR="00267775" w:rsidRPr="00C15EB1">
        <w:t xml:space="preserve"> </w:t>
      </w:r>
      <w:r w:rsidRPr="00C15EB1">
        <w:t>decadrà la validità amministrativa del precedente PNGLA 2019-2021 e il sistema di regole in esso contenuto.</w:t>
      </w:r>
    </w:p>
    <w:p w14:paraId="2EE82277" w14:textId="29D82DCA" w:rsidR="00F767FF" w:rsidRPr="00962E76" w:rsidRDefault="00F767FF" w:rsidP="009E4DE9">
      <w:pPr>
        <w:jc w:val="both"/>
      </w:pPr>
      <w:r w:rsidRPr="00C15EB1">
        <w:t>Nelle more dell</w:t>
      </w:r>
      <w:r w:rsidR="00575B27">
        <w:t>’</w:t>
      </w:r>
      <w:r w:rsidRPr="00C15EB1">
        <w:t xml:space="preserve"> approvazione definitiva del suddetto </w:t>
      </w:r>
      <w:r w:rsidR="00FB122B">
        <w:t>Piano</w:t>
      </w:r>
      <w:r w:rsidRPr="00C15EB1">
        <w:t xml:space="preserve"> ed in attuazione d</w:t>
      </w:r>
      <w:r w:rsidR="00267775" w:rsidRPr="00C15EB1">
        <w:t>e</w:t>
      </w:r>
      <w:r w:rsidRPr="00C15EB1">
        <w:t xml:space="preserve">ll’art. </w:t>
      </w:r>
      <w:r w:rsidR="00CA2888">
        <w:t xml:space="preserve">2 </w:t>
      </w:r>
      <w:r w:rsidRPr="00C15EB1">
        <w:t>c. 5 del</w:t>
      </w:r>
      <w:r w:rsidR="00267775" w:rsidRPr="00CA2888">
        <w:t xml:space="preserve"> D.L. 73/2024 </w:t>
      </w:r>
      <w:r w:rsidR="00575B27">
        <w:t>,</w:t>
      </w:r>
      <w:r w:rsidR="00267775" w:rsidRPr="00CA2888">
        <w:t xml:space="preserve"> così come convertito dalla Legge n. 107 del 29 luglio 2024 recante </w:t>
      </w:r>
      <w:r w:rsidR="000F44D7">
        <w:t>“M</w:t>
      </w:r>
      <w:r w:rsidR="00267775" w:rsidRPr="000F44D7">
        <w:rPr>
          <w:i/>
        </w:rPr>
        <w:t>isure urgenti per la riduzione dei tempi delle liste di attesa delle prestazioni sanitarie</w:t>
      </w:r>
      <w:r w:rsidR="000F44D7">
        <w:t>”</w:t>
      </w:r>
      <w:r w:rsidR="00267775" w:rsidRPr="00CA2888">
        <w:t>, l</w:t>
      </w:r>
      <w:r w:rsidRPr="00C15EB1">
        <w:t xml:space="preserve">a </w:t>
      </w:r>
      <w:r w:rsidR="005F3EBC">
        <w:t>Regione</w:t>
      </w:r>
      <w:r w:rsidRPr="00C15EB1">
        <w:t xml:space="preserve"> Basilicata approva </w:t>
      </w:r>
      <w:r w:rsidRPr="00962E76">
        <w:t xml:space="preserve">il seguente </w:t>
      </w:r>
      <w:r w:rsidR="00FB122B" w:rsidRPr="00962E76">
        <w:t>Piano</w:t>
      </w:r>
      <w:r w:rsidRPr="00962E76">
        <w:t xml:space="preserve"> operativo delle liste di attesa  con validità  annuale per l’anno 2025</w:t>
      </w:r>
      <w:r w:rsidR="00575B27" w:rsidRPr="00962E76">
        <w:t>,</w:t>
      </w:r>
      <w:r w:rsidRPr="00962E76">
        <w:t xml:space="preserve"> recependo già le indicazioni di massima del nuovo PNGLA 2025-27</w:t>
      </w:r>
      <w:r w:rsidR="00575B27" w:rsidRPr="00962E76">
        <w:t xml:space="preserve">, se pur </w:t>
      </w:r>
      <w:r w:rsidRPr="00962E76">
        <w:t xml:space="preserve"> limitatamente alle prestazioni di </w:t>
      </w:r>
      <w:r w:rsidR="00C17409" w:rsidRPr="00962E76">
        <w:t>prime visite e prime prestazioni diagnostiche</w:t>
      </w:r>
      <w:r w:rsidR="000F44D7" w:rsidRPr="00962E76">
        <w:t>,</w:t>
      </w:r>
      <w:r w:rsidRPr="00962E76">
        <w:t xml:space="preserve"> riservando la programmazione delle attività di ricovero ad un successivo provvedimento.</w:t>
      </w:r>
    </w:p>
    <w:p w14:paraId="1A7F0E64" w14:textId="77777777" w:rsidR="0069305B" w:rsidRPr="00466E7D" w:rsidRDefault="0069305B" w:rsidP="00EC4A2D">
      <w:pPr>
        <w:ind w:left="284"/>
        <w:jc w:val="both"/>
        <w:rPr>
          <w:b/>
          <w:color w:val="0070C0"/>
        </w:rPr>
      </w:pPr>
      <w:r w:rsidRPr="00C15EB1">
        <w:rPr>
          <w:b/>
        </w:rPr>
        <w:t>1.1.</w:t>
      </w:r>
      <w:r w:rsidRPr="00C15EB1">
        <w:rPr>
          <w:b/>
        </w:rPr>
        <w:tab/>
        <w:t>Tempi</w:t>
      </w:r>
      <w:r w:rsidRPr="00C15EB1">
        <w:rPr>
          <w:b/>
        </w:rPr>
        <w:tab/>
        <w:t>massimi</w:t>
      </w:r>
      <w:r w:rsidR="00267775" w:rsidRPr="00C15EB1">
        <w:rPr>
          <w:b/>
        </w:rPr>
        <w:t xml:space="preserve"> </w:t>
      </w:r>
      <w:r w:rsidRPr="00C15EB1">
        <w:rPr>
          <w:b/>
        </w:rPr>
        <w:t>di</w:t>
      </w:r>
      <w:r w:rsidR="00267775" w:rsidRPr="00C15EB1">
        <w:rPr>
          <w:b/>
        </w:rPr>
        <w:t xml:space="preserve"> </w:t>
      </w:r>
      <w:r w:rsidRPr="00C15EB1">
        <w:rPr>
          <w:b/>
        </w:rPr>
        <w:t>attesa</w:t>
      </w:r>
      <w:r w:rsidR="00267775" w:rsidRPr="00C15EB1">
        <w:rPr>
          <w:b/>
        </w:rPr>
        <w:t xml:space="preserve"> </w:t>
      </w:r>
      <w:r w:rsidRPr="00C15EB1">
        <w:rPr>
          <w:b/>
        </w:rPr>
        <w:t>delle</w:t>
      </w:r>
      <w:r w:rsidRPr="00C15EB1">
        <w:rPr>
          <w:b/>
        </w:rPr>
        <w:tab/>
        <w:t>prestazioni ambulatoriali</w:t>
      </w:r>
      <w:r w:rsidR="00230F30" w:rsidRPr="00C15EB1">
        <w:rPr>
          <w:b/>
        </w:rPr>
        <w:t xml:space="preserve">  </w:t>
      </w:r>
    </w:p>
    <w:p w14:paraId="1757E008" w14:textId="77777777" w:rsidR="00B01AF6" w:rsidRDefault="00B01AF6" w:rsidP="00B01AF6">
      <w:pPr>
        <w:jc w:val="both"/>
      </w:pPr>
      <w:r>
        <w:t xml:space="preserve">I tempi massimi di attesa delle prestazioni di specialistica ambulatoriale erogate in regime SSR agli Assistiti residenti/domiciliati in </w:t>
      </w:r>
      <w:r w:rsidR="005F3EBC">
        <w:t>Regione</w:t>
      </w:r>
      <w:r>
        <w:t xml:space="preserve"> Basilicata presso tutte le Aziende Pubbliche e le Strutture Private Accreditate,</w:t>
      </w:r>
      <w:r w:rsidR="0014188F">
        <w:t xml:space="preserve"> devono essere a</w:t>
      </w:r>
      <w:r>
        <w:t>ggiornati progressivamente come segue</w:t>
      </w:r>
      <w:r w:rsidR="0014188F">
        <w:t>:</w:t>
      </w:r>
    </w:p>
    <w:p w14:paraId="213A543F" w14:textId="77777777" w:rsidR="00B01AF6" w:rsidRPr="00B01AF6" w:rsidRDefault="00B01AF6" w:rsidP="00B01AF6">
      <w:pPr>
        <w:pStyle w:val="Paragrafoelenco"/>
        <w:numPr>
          <w:ilvl w:val="0"/>
          <w:numId w:val="1"/>
        </w:numPr>
        <w:jc w:val="both"/>
        <w:rPr>
          <w:color w:val="0070C0"/>
        </w:rPr>
      </w:pPr>
      <w:r>
        <w:t>Tutte le prestazioni con classe di priorità “</w:t>
      </w:r>
      <w:r w:rsidRPr="001D63ED">
        <w:rPr>
          <w:i/>
        </w:rPr>
        <w:t>U – Urgente</w:t>
      </w:r>
      <w:r>
        <w:t>”: entro n. 72 ore</w:t>
      </w:r>
    </w:p>
    <w:p w14:paraId="55BEB759" w14:textId="77777777" w:rsidR="006F4DEE" w:rsidRPr="006F4DEE" w:rsidRDefault="00B01AF6" w:rsidP="00B01AF6">
      <w:pPr>
        <w:pStyle w:val="Paragrafoelenco"/>
        <w:numPr>
          <w:ilvl w:val="0"/>
          <w:numId w:val="1"/>
        </w:numPr>
        <w:jc w:val="both"/>
        <w:rPr>
          <w:color w:val="0070C0"/>
        </w:rPr>
      </w:pPr>
      <w:r>
        <w:t>Tutte le prestazioni con classe di priorità “</w:t>
      </w:r>
      <w:r w:rsidRPr="001D63ED">
        <w:rPr>
          <w:i/>
        </w:rPr>
        <w:t>B – Breve</w:t>
      </w:r>
      <w:r>
        <w:t>”: entro n. 10 giorni</w:t>
      </w:r>
    </w:p>
    <w:p w14:paraId="108CAF98" w14:textId="77777777" w:rsidR="00230F30" w:rsidRPr="00230F30" w:rsidRDefault="00B01AF6" w:rsidP="00230F30">
      <w:pPr>
        <w:pStyle w:val="Paragrafoelenco"/>
        <w:numPr>
          <w:ilvl w:val="0"/>
          <w:numId w:val="1"/>
        </w:numPr>
        <w:jc w:val="both"/>
        <w:rPr>
          <w:color w:val="0070C0"/>
        </w:rPr>
      </w:pPr>
      <w:r>
        <w:t>Visite con classe di priorità “</w:t>
      </w:r>
      <w:r w:rsidRPr="001D63ED">
        <w:rPr>
          <w:i/>
        </w:rPr>
        <w:t>D – Differibile</w:t>
      </w:r>
      <w:r>
        <w:t>”: entro n. 30 giorni</w:t>
      </w:r>
    </w:p>
    <w:p w14:paraId="00392108" w14:textId="77777777" w:rsidR="00230F30" w:rsidRPr="00230F30" w:rsidRDefault="00B01AF6" w:rsidP="00230F30">
      <w:pPr>
        <w:pStyle w:val="Paragrafoelenco"/>
        <w:numPr>
          <w:ilvl w:val="0"/>
          <w:numId w:val="1"/>
        </w:numPr>
        <w:jc w:val="both"/>
        <w:rPr>
          <w:color w:val="0070C0"/>
        </w:rPr>
      </w:pPr>
      <w:r>
        <w:t>Accertamenti diagnostico-strumentali con classe di priorità “</w:t>
      </w:r>
      <w:r w:rsidRPr="001D63ED">
        <w:rPr>
          <w:i/>
        </w:rPr>
        <w:t>D – Differibile</w:t>
      </w:r>
      <w:r>
        <w:t>”:</w:t>
      </w:r>
      <w:r w:rsidR="00230F30">
        <w:t xml:space="preserve"> </w:t>
      </w:r>
      <w:r>
        <w:t>entro n. 60 giorni</w:t>
      </w:r>
    </w:p>
    <w:p w14:paraId="2AB4D5F9" w14:textId="77777777" w:rsidR="00230F30" w:rsidRDefault="00B01AF6" w:rsidP="00230F30">
      <w:pPr>
        <w:pStyle w:val="Paragrafoelenco"/>
        <w:numPr>
          <w:ilvl w:val="0"/>
          <w:numId w:val="1"/>
        </w:numPr>
        <w:jc w:val="both"/>
        <w:rPr>
          <w:color w:val="0070C0"/>
        </w:rPr>
      </w:pPr>
      <w:r>
        <w:t>Tutte le prestazioni con classe di priorità “</w:t>
      </w:r>
      <w:r w:rsidRPr="001D63ED">
        <w:rPr>
          <w:i/>
        </w:rPr>
        <w:t>P – Programmabile</w:t>
      </w:r>
      <w:r>
        <w:t>”: entro n. 120 giorni.</w:t>
      </w:r>
      <w:r w:rsidRPr="00230F30">
        <w:rPr>
          <w:color w:val="0070C0"/>
        </w:rPr>
        <w:t xml:space="preserve"> </w:t>
      </w:r>
    </w:p>
    <w:p w14:paraId="76816F6C" w14:textId="77777777" w:rsidR="00B131E9" w:rsidRPr="00793EB3" w:rsidRDefault="00B131E9" w:rsidP="00B131E9">
      <w:pPr>
        <w:jc w:val="both"/>
      </w:pPr>
      <w:r w:rsidRPr="00793EB3">
        <w:t>La Classe di priorità è obbligatoria per tutte le prestazioni di specialistica ambulatoriale per i primi accessi.</w:t>
      </w:r>
    </w:p>
    <w:p w14:paraId="5E9C72C6" w14:textId="77777777" w:rsidR="00B131E9" w:rsidRDefault="00B131E9" w:rsidP="00B131E9">
      <w:pPr>
        <w:jc w:val="both"/>
      </w:pPr>
      <w:r w:rsidRPr="00793EB3">
        <w:t xml:space="preserve">Per tutte le prescrizioni è obbligatorio il quesito/sospetto diagnostico, sia se trattasi di prestazioni in </w:t>
      </w:r>
      <w:r w:rsidR="001D63ED">
        <w:t>“</w:t>
      </w:r>
      <w:r w:rsidRPr="001D63ED">
        <w:rPr>
          <w:i/>
        </w:rPr>
        <w:t>primo accesso</w:t>
      </w:r>
      <w:r w:rsidR="001D63ED">
        <w:rPr>
          <w:i/>
        </w:rPr>
        <w:t>”</w:t>
      </w:r>
      <w:r w:rsidRPr="00793EB3">
        <w:t xml:space="preserve"> che di </w:t>
      </w:r>
      <w:r w:rsidR="001D63ED">
        <w:t>“</w:t>
      </w:r>
      <w:r w:rsidRPr="001D63ED">
        <w:rPr>
          <w:i/>
        </w:rPr>
        <w:t>accesso successivo</w:t>
      </w:r>
      <w:r w:rsidR="001D63ED">
        <w:rPr>
          <w:i/>
        </w:rPr>
        <w:t>”</w:t>
      </w:r>
      <w:r w:rsidRPr="00793EB3">
        <w:t xml:space="preserve">. L’indicazione del quesito diagnostico descrive il problema di salute che motiva la richiesta da parte del medico di effettuare prestazioni e deve essere riferito all’insieme di prestazioni che confluiscono in una stessa ricetta. In caso di prestazioni di laboratorio è possibile che i quesiti diagnostici siano più di uno, nella fattispecie occorre indicare il quesito prevalente. Il medico </w:t>
      </w:r>
      <w:proofErr w:type="spellStart"/>
      <w:r w:rsidRPr="00793EB3">
        <w:t>prescrittore</w:t>
      </w:r>
      <w:proofErr w:type="spellEnd"/>
      <w:r w:rsidRPr="00793EB3">
        <w:t xml:space="preserve"> è tenuto a compilare sempre, il quesito diagnostico, per garantire al paziente la </w:t>
      </w:r>
      <w:proofErr w:type="spellStart"/>
      <w:r w:rsidRPr="00793EB3">
        <w:t>prenotabilità</w:t>
      </w:r>
      <w:proofErr w:type="spellEnd"/>
      <w:r w:rsidRPr="00793EB3">
        <w:t xml:space="preserve"> della </w:t>
      </w:r>
      <w:r w:rsidR="001D63ED">
        <w:t>prestazione</w:t>
      </w:r>
      <w:r w:rsidRPr="00793EB3">
        <w:t>. Il quesito diagnostico dovrà essere coerente con le eventuali indicazioni cliniche definite a livello nazionale/regionale e selezionate in fase di prescrizione</w:t>
      </w:r>
      <w:r w:rsidR="00793EB3">
        <w:t>.</w:t>
      </w:r>
    </w:p>
    <w:p w14:paraId="32EC0F8A" w14:textId="77777777" w:rsidR="0018776E" w:rsidRPr="00CA5578" w:rsidRDefault="0018776E" w:rsidP="0018776E">
      <w:pPr>
        <w:jc w:val="both"/>
      </w:pPr>
      <w:r w:rsidRPr="00CA5578">
        <w:t xml:space="preserve">Si ricorda che la priorità P deve essere utilizzata per la prescrizione di visite e prestazioni strumentali di primo accesso, riferite a problemi che richiedono approfondimenti, ma che non necessitano di esecuzione in tempi rapidi. Tale priorità quindi non deve essere utilizzata per la prescrizione di visite e prestazioni strumentali di controllo. Le Aziende devono costantemente monitorare il corretto utilizzo della priorità, attraverso valutazioni sistematiche, ovvero a campione, dell’appropriatezza prescrittiva. </w:t>
      </w:r>
    </w:p>
    <w:p w14:paraId="251CF368" w14:textId="77777777" w:rsidR="0018776E" w:rsidRDefault="0018776E" w:rsidP="00B131E9">
      <w:pPr>
        <w:jc w:val="both"/>
      </w:pPr>
    </w:p>
    <w:p w14:paraId="62B2A130" w14:textId="77777777" w:rsidR="00EC4A2D" w:rsidRPr="00793EB3" w:rsidRDefault="0069305B" w:rsidP="00060C5F">
      <w:pPr>
        <w:ind w:left="567" w:hanging="284"/>
        <w:jc w:val="both"/>
        <w:rPr>
          <w:b/>
        </w:rPr>
      </w:pPr>
      <w:r w:rsidRPr="00793EB3">
        <w:rPr>
          <w:b/>
        </w:rPr>
        <w:t>1.2.</w:t>
      </w:r>
      <w:r w:rsidRPr="00793EB3">
        <w:rPr>
          <w:b/>
        </w:rPr>
        <w:tab/>
        <w:t>Tempi massimi di attesa di tutte le prestazioni di chirurgia transitate al regime ambulatoriale</w:t>
      </w:r>
    </w:p>
    <w:p w14:paraId="79DEA86B" w14:textId="77777777" w:rsidR="0069305B" w:rsidRPr="009A2F9C" w:rsidRDefault="0069305B" w:rsidP="001A3D3B">
      <w:pPr>
        <w:jc w:val="both"/>
      </w:pPr>
      <w:r w:rsidRPr="00F15158">
        <w:lastRenderedPageBreak/>
        <w:t>I tempi d’attesa massimi per gli interventi chirurgici transitati nel regime ambulatoriale sono quelli previsti dalle classi di priorità</w:t>
      </w:r>
      <w:r w:rsidR="00385EBE" w:rsidRPr="00F15158">
        <w:t xml:space="preserve"> dell’ambulatoriale</w:t>
      </w:r>
      <w:r w:rsidR="00407FD8" w:rsidRPr="00F15158">
        <w:t>.</w:t>
      </w:r>
      <w:r w:rsidRPr="009A2F9C">
        <w:t xml:space="preserve"> La classe di priorità prevista per l’erogazione della prestazione chirurgica, </w:t>
      </w:r>
      <w:r w:rsidR="00407FD8" w:rsidRPr="009A2F9C">
        <w:t>d</w:t>
      </w:r>
      <w:r w:rsidRPr="009A2F9C">
        <w:t>ovrà pertanto essere inserita nel sospetto diagnostico, dopo aver selezionato sulla modalità di accesso, nella prescrizione della dematerializza (DEMA), la voce “accesso successivo”. I sistemi informatici di prescrizione DEMA devono garantire tale funzione.</w:t>
      </w:r>
    </w:p>
    <w:p w14:paraId="6DF005FB" w14:textId="77777777" w:rsidR="0069305B" w:rsidRPr="00060C5F" w:rsidRDefault="0069305B" w:rsidP="00060C5F">
      <w:pPr>
        <w:pStyle w:val="Paragrafoelenco"/>
        <w:numPr>
          <w:ilvl w:val="0"/>
          <w:numId w:val="40"/>
        </w:numPr>
        <w:jc w:val="both"/>
        <w:rPr>
          <w:b/>
        </w:rPr>
      </w:pPr>
      <w:r w:rsidRPr="00060C5F">
        <w:rPr>
          <w:b/>
        </w:rPr>
        <w:t>Apertura delle strutture anche nelle ore serali e durante il fine settimana</w:t>
      </w:r>
    </w:p>
    <w:p w14:paraId="2C226ACA" w14:textId="77777777" w:rsidR="00EC4A2D" w:rsidRPr="00CA47CF" w:rsidRDefault="0069305B" w:rsidP="00EC4A2D">
      <w:pPr>
        <w:jc w:val="both"/>
      </w:pPr>
      <w:r w:rsidRPr="00CA47CF">
        <w:t xml:space="preserve">Le Aziende </w:t>
      </w:r>
      <w:r w:rsidR="0040664C" w:rsidRPr="00CA47CF">
        <w:t xml:space="preserve">sanitarie regionali </w:t>
      </w:r>
      <w:r w:rsidRPr="00CA47CF">
        <w:t xml:space="preserve">nonché le strutture private accreditate </w:t>
      </w:r>
      <w:r w:rsidR="0040664C" w:rsidRPr="00CA47CF">
        <w:t>devono</w:t>
      </w:r>
      <w:r w:rsidRPr="00CA47CF">
        <w:t xml:space="preserve"> assicurare ordinariamente le prestazioni di assistenza specialistica ambulatoriale per l’utenza esterna, attraverso l’apertura delle strutture anche nelle ore serali e durante il fine settimana.</w:t>
      </w:r>
    </w:p>
    <w:p w14:paraId="3F67A3EB" w14:textId="77777777" w:rsidR="0069305B" w:rsidRPr="00CA47CF" w:rsidRDefault="0069305B" w:rsidP="00EC4A2D">
      <w:pPr>
        <w:pStyle w:val="Paragrafoelenco"/>
        <w:numPr>
          <w:ilvl w:val="0"/>
          <w:numId w:val="10"/>
        </w:numPr>
        <w:jc w:val="both"/>
        <w:rPr>
          <w:b/>
        </w:rPr>
      </w:pPr>
      <w:r w:rsidRPr="00CA47CF">
        <w:rPr>
          <w:b/>
        </w:rPr>
        <w:t>Utilizzo delle grandi apparecchiature di diagnostica per immagini</w:t>
      </w:r>
    </w:p>
    <w:p w14:paraId="060854BA" w14:textId="3A58E02E" w:rsidR="00EC4A2D" w:rsidRPr="00962E76" w:rsidRDefault="0069305B" w:rsidP="00EC4A2D">
      <w:pPr>
        <w:jc w:val="both"/>
      </w:pPr>
      <w:r w:rsidRPr="008C347E">
        <w:t xml:space="preserve">Il </w:t>
      </w:r>
      <w:r w:rsidRPr="00962E76">
        <w:t xml:space="preserve">PNGLA prevede che le apparecchiature di diagnostica per immagini siano utilizzate almeno per l’80% della loro potenzialità. </w:t>
      </w:r>
      <w:r w:rsidR="00CE542C" w:rsidRPr="00962E76">
        <w:t>C</w:t>
      </w:r>
      <w:r w:rsidRPr="00962E76">
        <w:t>iascuna Azienda dovrà provvedere alla definizione delle modalità organizzative opportune al fine di garantire che tale standard sia raggiunto.</w:t>
      </w:r>
      <w:r w:rsidR="00D72786" w:rsidRPr="00962E76">
        <w:t xml:space="preserve"> Successivamente all’adozione del presente piano saranno monitorati i dati di utilizzo compresi quelli relativi alle ore serali e del fine settimana, così come indicato nel punto 2. </w:t>
      </w:r>
    </w:p>
    <w:p w14:paraId="0DDE3104" w14:textId="77777777" w:rsidR="0069305B" w:rsidRPr="008C347E" w:rsidRDefault="0069305B" w:rsidP="00EC4A2D">
      <w:pPr>
        <w:pStyle w:val="Paragrafoelenco"/>
        <w:numPr>
          <w:ilvl w:val="0"/>
          <w:numId w:val="8"/>
        </w:numPr>
        <w:jc w:val="both"/>
        <w:rPr>
          <w:b/>
        </w:rPr>
      </w:pPr>
      <w:r w:rsidRPr="008C347E">
        <w:rPr>
          <w:b/>
        </w:rPr>
        <w:t>Elenco delle prestazioni diagnostiche terapeutiche e riabilitative di assistenza specialistica ambulatoriale soggette a monitoraggio</w:t>
      </w:r>
    </w:p>
    <w:p w14:paraId="7A96108E" w14:textId="04B851A2" w:rsidR="006722B3" w:rsidRPr="00962E76" w:rsidRDefault="006722B3" w:rsidP="006722B3">
      <w:pPr>
        <w:jc w:val="both"/>
      </w:pPr>
      <w:r w:rsidRPr="00962E76">
        <w:t>Il PNGLA 2019-2021 definisce prima visita o prima prestazione diagnostica-terapeutica il primo contatto del paziente con il sistema relativamente al problema di salute posto</w:t>
      </w:r>
      <w:r w:rsidRPr="00962E76">
        <w:t xml:space="preserve"> e definisce</w:t>
      </w:r>
      <w:r w:rsidRPr="00962E76">
        <w:t xml:space="preserve"> per visita di controllo o di </w:t>
      </w:r>
      <w:proofErr w:type="spellStart"/>
      <w:r w:rsidRPr="00962E76">
        <w:rPr>
          <w:i/>
        </w:rPr>
        <w:t>follow</w:t>
      </w:r>
      <w:proofErr w:type="spellEnd"/>
      <w:r w:rsidRPr="00962E76">
        <w:rPr>
          <w:i/>
        </w:rPr>
        <w:t xml:space="preserve"> up</w:t>
      </w:r>
      <w:r w:rsidRPr="00962E76">
        <w:t>, quella successiva a un inquadramento diagnostico concluso per cui si attiva la “presa in carico del paziente cronico”. Nel caso in cui un paziente cronico presenti una riacutizzazione della patologia, ovvero una sintomatologia riconducibile ad altro sospetto diagnostico, rientrerà nel percorso di prima visita.</w:t>
      </w:r>
    </w:p>
    <w:p w14:paraId="200B2685" w14:textId="79B046B9" w:rsidR="0069305B" w:rsidRPr="008C347E" w:rsidRDefault="0069305B" w:rsidP="001A3D3B">
      <w:pPr>
        <w:jc w:val="both"/>
      </w:pPr>
      <w:r w:rsidRPr="008C347E">
        <w:t>Ai fini del monitoraggio dei tempi di attesa delle prestazioni ambulatoriali</w:t>
      </w:r>
      <w:r w:rsidR="00060C5F">
        <w:t>,</w:t>
      </w:r>
      <w:r w:rsidRPr="008C347E">
        <w:t xml:space="preserve"> </w:t>
      </w:r>
      <w:r w:rsidR="0002736E">
        <w:t xml:space="preserve">si </w:t>
      </w:r>
      <w:r w:rsidRPr="008C347E">
        <w:t>prend</w:t>
      </w:r>
      <w:r w:rsidR="0002736E">
        <w:t>ono</w:t>
      </w:r>
      <w:r w:rsidRPr="008C347E">
        <w:t xml:space="preserve"> in considerazione esclusivamente le prime visite e le prime prestazioni diagnostiche, ovvero quelle che rappresentano il primo contatto del paziente con il SSR relativamente al quesito diagnostico posto</w:t>
      </w:r>
      <w:r w:rsidR="008743A1">
        <w:t>.</w:t>
      </w:r>
      <w:r w:rsidRPr="008C347E">
        <w:t xml:space="preserve"> </w:t>
      </w:r>
      <w:r w:rsidR="008743A1">
        <w:t>T</w:t>
      </w:r>
      <w:r w:rsidRPr="008C347E">
        <w:t>utte le prestazioni di controllo, quelle necessarie per la presa in carico del paziente, le prestazioni richieste in classe U e le prestazioni di screening non sono soggette al monitoraggio ma devono comunque essere garantite entro il tempo previsto dal percorso di cura avviato. In caso di rilevazione di ulteriori criticità, gli elenchi di prestazioni oggetto di monitoraggio potranno essere integrati con successivi atti</w:t>
      </w:r>
      <w:r w:rsidR="0020594E" w:rsidRPr="008C347E">
        <w:t>.</w:t>
      </w:r>
    </w:p>
    <w:p w14:paraId="66D17B67" w14:textId="77777777" w:rsidR="0069305B" w:rsidRPr="008C347E" w:rsidRDefault="0069305B" w:rsidP="001A3D3B">
      <w:pPr>
        <w:jc w:val="both"/>
      </w:pPr>
      <w:r w:rsidRPr="008C347E">
        <w:t xml:space="preserve">Le tipologie delle prime visite, delle prestazioni di diagnostica per immagini e degli altri esami specialistici oggetto di monitoraggio, sono riportate </w:t>
      </w:r>
      <w:r w:rsidRPr="00F15158">
        <w:rPr>
          <w:b/>
        </w:rPr>
        <w:t>nell’Allegato 1</w:t>
      </w:r>
      <w:r w:rsidRPr="00F15158">
        <w:t>,</w:t>
      </w:r>
      <w:r w:rsidRPr="008C347E">
        <w:rPr>
          <w:color w:val="FF0000"/>
        </w:rPr>
        <w:t xml:space="preserve"> </w:t>
      </w:r>
      <w:r w:rsidRPr="008C347E">
        <w:t>parte integrante del presente provvedimento</w:t>
      </w:r>
      <w:r w:rsidR="0020594E" w:rsidRPr="008C347E">
        <w:t>.</w:t>
      </w:r>
      <w:r w:rsidRPr="008C347E">
        <w:t xml:space="preserve"> </w:t>
      </w:r>
    </w:p>
    <w:p w14:paraId="0D781C60" w14:textId="77777777" w:rsidR="0069305B" w:rsidRPr="008C347E" w:rsidRDefault="0069305B" w:rsidP="00EC4A2D">
      <w:pPr>
        <w:pStyle w:val="Paragrafoelenco"/>
        <w:numPr>
          <w:ilvl w:val="0"/>
          <w:numId w:val="8"/>
        </w:numPr>
        <w:jc w:val="both"/>
        <w:rPr>
          <w:b/>
        </w:rPr>
      </w:pPr>
      <w:r w:rsidRPr="008C347E">
        <w:rPr>
          <w:b/>
        </w:rPr>
        <w:t>Attività sistematica di valutazione sull’appropriatezza e congruità prescrittiva</w:t>
      </w:r>
    </w:p>
    <w:p w14:paraId="53E54F50" w14:textId="77777777" w:rsidR="00076FEC" w:rsidRPr="008C347E" w:rsidRDefault="00076FEC" w:rsidP="001A3D3B">
      <w:pPr>
        <w:jc w:val="both"/>
      </w:pPr>
      <w:r w:rsidRPr="008C347E">
        <w:t>La domanda di prestazioni dovrebbe essere idealmente e completamente appropriata, sulla base di presupposti scientifici validati. Un intervento sanitario (diagnostico, terapeutico, riabilitativo) si ritiene appropriato dal punto di vista prescrittivo quando è richiesto ed erogato in coerenza con il bisogno del paziente, fornito nei modi e nei tempi adeguati, sulla base di standard riconosciuti e delle evidenze scientifiche disponibili e quando tenga in considerazione il contesto socioculturale del paziente e il livello assistenziale richiesto, con un bilancio positivo tra benefici, rischi e costi.</w:t>
      </w:r>
    </w:p>
    <w:p w14:paraId="1F2091FF" w14:textId="77777777" w:rsidR="0069305B" w:rsidRPr="008C347E" w:rsidRDefault="0069305B" w:rsidP="001A3D3B">
      <w:pPr>
        <w:jc w:val="both"/>
      </w:pPr>
      <w:r w:rsidRPr="008C347E">
        <w:lastRenderedPageBreak/>
        <w:t xml:space="preserve">Le attività sistematiche e continuative di valutazione sulla congruità prescrittiva sono garantite attraverso l’uso della ricetta </w:t>
      </w:r>
      <w:r w:rsidR="00993592">
        <w:t>DEMA</w:t>
      </w:r>
      <w:r w:rsidRPr="008C347E">
        <w:t>.</w:t>
      </w:r>
    </w:p>
    <w:p w14:paraId="3F8DA69F" w14:textId="77777777" w:rsidR="0069305B" w:rsidRPr="008C347E" w:rsidRDefault="00156FA5" w:rsidP="001A3D3B">
      <w:pPr>
        <w:jc w:val="both"/>
      </w:pPr>
      <w:r w:rsidRPr="008C347E">
        <w:t>In particolare le azioni di</w:t>
      </w:r>
      <w:r w:rsidR="0069305B" w:rsidRPr="008C347E">
        <w:t xml:space="preserve"> miglioramento sull’</w:t>
      </w:r>
      <w:r w:rsidRPr="008C347E">
        <w:t xml:space="preserve"> </w:t>
      </w:r>
      <w:r w:rsidR="0069305B" w:rsidRPr="008C347E">
        <w:t xml:space="preserve">appropriatezza </w:t>
      </w:r>
      <w:r w:rsidRPr="008C347E">
        <w:t>devono garantire:</w:t>
      </w:r>
    </w:p>
    <w:p w14:paraId="383E0A70" w14:textId="2A2053FD" w:rsidR="0069305B" w:rsidRPr="00962E76" w:rsidRDefault="0069305B" w:rsidP="001A3D3B">
      <w:pPr>
        <w:jc w:val="both"/>
      </w:pPr>
      <w:r w:rsidRPr="008C347E">
        <w:t>a)</w:t>
      </w:r>
      <w:r w:rsidRPr="008C347E">
        <w:tab/>
      </w:r>
      <w:r w:rsidR="00B86BD8" w:rsidRPr="00962E76">
        <w:t>l’</w:t>
      </w:r>
      <w:r w:rsidRPr="00962E76">
        <w:t>utilizzo obbligatorio delle classi di priorità per i primi accessi;</w:t>
      </w:r>
    </w:p>
    <w:p w14:paraId="3F233B03" w14:textId="4DDB2140" w:rsidR="0069305B" w:rsidRPr="00962E76" w:rsidRDefault="0069305B" w:rsidP="00265902">
      <w:pPr>
        <w:ind w:left="705" w:hanging="705"/>
        <w:jc w:val="both"/>
      </w:pPr>
      <w:r w:rsidRPr="00962E76">
        <w:t>b)</w:t>
      </w:r>
      <w:r w:rsidRPr="00962E76">
        <w:tab/>
      </w:r>
      <w:r w:rsidR="00B86BD8" w:rsidRPr="00962E76">
        <w:t>l’</w:t>
      </w:r>
      <w:r w:rsidRPr="00962E76">
        <w:t xml:space="preserve">indicazione negli accessi </w:t>
      </w:r>
      <w:r w:rsidR="00B86BD8" w:rsidRPr="00962E76">
        <w:t>successivi</w:t>
      </w:r>
      <w:r w:rsidRPr="00962E76">
        <w:t xml:space="preserve"> del tempo massimo di erogazione</w:t>
      </w:r>
      <w:r w:rsidR="00B86BD8" w:rsidRPr="00962E76">
        <w:t xml:space="preserve"> entro cui effettuare la prestazione</w:t>
      </w:r>
      <w:r w:rsidRPr="00962E76">
        <w:t>;</w:t>
      </w:r>
    </w:p>
    <w:p w14:paraId="459BB124" w14:textId="33B5DC81" w:rsidR="00156FA5" w:rsidRPr="008C347E" w:rsidRDefault="0069305B" w:rsidP="001A3D3B">
      <w:pPr>
        <w:jc w:val="both"/>
      </w:pPr>
      <w:r w:rsidRPr="008C347E">
        <w:t>c)</w:t>
      </w:r>
      <w:r w:rsidRPr="008C347E">
        <w:tab/>
      </w:r>
      <w:r w:rsidR="00265902">
        <w:t xml:space="preserve">la </w:t>
      </w:r>
      <w:r w:rsidRPr="008C347E">
        <w:t>presenza obbligatoria del quesito diagnostico appropriato</w:t>
      </w:r>
      <w:r w:rsidR="00156FA5" w:rsidRPr="008C347E">
        <w:t>;</w:t>
      </w:r>
    </w:p>
    <w:p w14:paraId="00E77DC3" w14:textId="6CCF46D0" w:rsidR="0069305B" w:rsidRPr="008C347E" w:rsidRDefault="0069305B" w:rsidP="001A3D3B">
      <w:pPr>
        <w:jc w:val="both"/>
      </w:pPr>
      <w:r w:rsidRPr="008C347E">
        <w:t>d)</w:t>
      </w:r>
      <w:r w:rsidRPr="008C347E">
        <w:tab/>
      </w:r>
      <w:r w:rsidR="00265902">
        <w:t xml:space="preserve"> l’</w:t>
      </w:r>
      <w:r w:rsidRPr="008C347E">
        <w:t>identificazione dei primi accessi e degli accessi successivi;</w:t>
      </w:r>
    </w:p>
    <w:p w14:paraId="678D5C98" w14:textId="0E0195B3" w:rsidR="00265902" w:rsidRDefault="0069305B" w:rsidP="00265902">
      <w:pPr>
        <w:jc w:val="both"/>
        <w:rPr>
          <w:color w:val="0070C0"/>
        </w:rPr>
      </w:pPr>
      <w:r w:rsidRPr="001A3D3B">
        <w:rPr>
          <w:color w:val="0070C0"/>
        </w:rPr>
        <w:tab/>
      </w:r>
    </w:p>
    <w:p w14:paraId="0F46BA0E" w14:textId="73B0FAAB" w:rsidR="0069305B" w:rsidRPr="008C347E" w:rsidRDefault="0069305B" w:rsidP="00AA7AE5">
      <w:pPr>
        <w:pStyle w:val="Paragrafoelenco"/>
        <w:numPr>
          <w:ilvl w:val="0"/>
          <w:numId w:val="8"/>
        </w:numPr>
        <w:jc w:val="both"/>
        <w:rPr>
          <w:b/>
        </w:rPr>
      </w:pPr>
      <w:r w:rsidRPr="008C347E">
        <w:rPr>
          <w:b/>
        </w:rPr>
        <w:t>Validità della priorità di accesso e durata della prescrizione su ricetta SSR</w:t>
      </w:r>
    </w:p>
    <w:p w14:paraId="275C6455" w14:textId="77777777" w:rsidR="0069305B" w:rsidRPr="008C347E" w:rsidRDefault="0069305B" w:rsidP="001A3D3B">
      <w:pPr>
        <w:jc w:val="both"/>
      </w:pPr>
      <w:r w:rsidRPr="008C347E">
        <w:t xml:space="preserve">La priorità della prestazione è dettata dal bisogno di salute, secondo le distinzioni contenute nel </w:t>
      </w:r>
      <w:r w:rsidR="00FB122B">
        <w:t>Piano</w:t>
      </w:r>
      <w:r w:rsidRPr="008C347E">
        <w:t xml:space="preserve"> Nazionale Liste di Attesa e nei Raggruppamenti di Attesa Omogenei (RAO).</w:t>
      </w:r>
    </w:p>
    <w:p w14:paraId="1E81E207" w14:textId="77777777" w:rsidR="0069305B" w:rsidRPr="008C347E" w:rsidRDefault="0069305B" w:rsidP="001A3D3B">
      <w:pPr>
        <w:jc w:val="both"/>
      </w:pPr>
      <w:r w:rsidRPr="008C347E">
        <w:t xml:space="preserve">L’utente </w:t>
      </w:r>
      <w:r w:rsidR="00E849FD">
        <w:t>ha diritto</w:t>
      </w:r>
      <w:r w:rsidRPr="008C347E">
        <w:t xml:space="preserve"> ad accedere a uno dei canali di prenotazione in tempi coerenti alla priorità indicata sulla prescrizione, al fine di usufruire del diritto di ricevere la prestazione nei tempi indicati dalla classe di priorità, a partire dalla data di contatto.</w:t>
      </w:r>
    </w:p>
    <w:p w14:paraId="77C8F584" w14:textId="77777777" w:rsidR="0069305B" w:rsidRPr="008C347E" w:rsidRDefault="00723DC4" w:rsidP="001A3D3B">
      <w:pPr>
        <w:jc w:val="both"/>
      </w:pPr>
      <w:r w:rsidRPr="008C347E">
        <w:t>L</w:t>
      </w:r>
      <w:r w:rsidR="0069305B" w:rsidRPr="008C347E">
        <w:t>a validità temporale della ricetta del SSN è stabilita in 180 giorni, tuttavia il limite temporale è ridefinito all’atto della prenotazione/accettazione: una volta che la prestazione prescritta è stata prenotata, infatti, la ricetta resta valida fino al momento dell’erogazione. La prescrizione resta valida anche nel caso in cui l’appuntamento</w:t>
      </w:r>
      <w:r w:rsidR="00E849FD">
        <w:t>,</w:t>
      </w:r>
      <w:r w:rsidR="0069305B" w:rsidRPr="008C347E">
        <w:t xml:space="preserve"> già fissato per l’erogazione della prestazione</w:t>
      </w:r>
      <w:r w:rsidR="00E849FD">
        <w:t>,</w:t>
      </w:r>
      <w:r w:rsidR="0069305B" w:rsidRPr="008C347E">
        <w:t xml:space="preserve"> debba essere spostato per esigenze del paziente e/o della struttura erogante.</w:t>
      </w:r>
    </w:p>
    <w:p w14:paraId="737FB406" w14:textId="77777777" w:rsidR="0069305B" w:rsidRPr="008C347E" w:rsidRDefault="0069305B" w:rsidP="00EC4A2D">
      <w:pPr>
        <w:pStyle w:val="Paragrafoelenco"/>
        <w:numPr>
          <w:ilvl w:val="0"/>
          <w:numId w:val="8"/>
        </w:numPr>
        <w:jc w:val="both"/>
        <w:rPr>
          <w:b/>
        </w:rPr>
      </w:pPr>
      <w:r w:rsidRPr="008C347E">
        <w:rPr>
          <w:b/>
        </w:rPr>
        <w:t>Ambito di garanzia territoriale</w:t>
      </w:r>
    </w:p>
    <w:p w14:paraId="052A39C0" w14:textId="77777777" w:rsidR="0069305B" w:rsidRPr="008C347E" w:rsidRDefault="00FC685B" w:rsidP="001A3D3B">
      <w:pPr>
        <w:jc w:val="both"/>
      </w:pPr>
      <w:r w:rsidRPr="008C347E">
        <w:t>L’a</w:t>
      </w:r>
      <w:r w:rsidR="0069305B" w:rsidRPr="008C347E">
        <w:t>mbito di garanzia territoriale</w:t>
      </w:r>
      <w:r w:rsidRPr="008C347E">
        <w:t xml:space="preserve">, inteso come </w:t>
      </w:r>
      <w:r w:rsidR="0069305B" w:rsidRPr="008C347E">
        <w:t>il bacino territoriale minimo entro il quale deve essere soddisfatta la domanda di prestazioni</w:t>
      </w:r>
      <w:r w:rsidR="00E849FD">
        <w:t>,</w:t>
      </w:r>
      <w:r w:rsidR="0069305B" w:rsidRPr="008C347E">
        <w:t xml:space="preserve"> entro i tempi massimi previsti</w:t>
      </w:r>
      <w:r w:rsidR="00E849FD">
        <w:t>,</w:t>
      </w:r>
      <w:r w:rsidRPr="008C347E">
        <w:t xml:space="preserve"> è il territorio regionale</w:t>
      </w:r>
      <w:r w:rsidR="0069305B" w:rsidRPr="008C347E">
        <w:t>.</w:t>
      </w:r>
    </w:p>
    <w:p w14:paraId="3FF6400F" w14:textId="77777777" w:rsidR="0069305B" w:rsidRPr="008C347E" w:rsidRDefault="0069305B" w:rsidP="001A3D3B">
      <w:pPr>
        <w:jc w:val="both"/>
      </w:pPr>
      <w:r w:rsidRPr="008C347E">
        <w:t xml:space="preserve">Ciascuna Azienda </w:t>
      </w:r>
      <w:r w:rsidR="006A5B9E" w:rsidRPr="008C347E">
        <w:t xml:space="preserve">sanitaria </w:t>
      </w:r>
      <w:r w:rsidR="00E849FD">
        <w:t>territoriale</w:t>
      </w:r>
      <w:r w:rsidRPr="008C347E">
        <w:t xml:space="preserve"> deve essere</w:t>
      </w:r>
      <w:r w:rsidR="00FC685B" w:rsidRPr="008C347E">
        <w:t>, comunque,</w:t>
      </w:r>
      <w:r w:rsidRPr="008C347E">
        <w:t xml:space="preserve"> in grado di dimensionare la propria offerta al fine di soddisfare la domanda espressa, entro i tempi massimi definiti dalla priorità indicata. L’obiettivo è quello di assicurare la massima prossimità possibile all’utenza nell’erogazione delle prestazioni, considerando nel contempo la qualità e la sicurezza delle prestazioni erogate</w:t>
      </w:r>
      <w:r w:rsidR="00E849FD">
        <w:t>,</w:t>
      </w:r>
      <w:r w:rsidRPr="008C347E">
        <w:t xml:space="preserve"> nonché la migliore allocazione delle risorse e la sostenibilità economica del sistema nel suo complesso.</w:t>
      </w:r>
    </w:p>
    <w:p w14:paraId="650459F6" w14:textId="77777777" w:rsidR="0069305B" w:rsidRPr="008C347E" w:rsidRDefault="00FC685B" w:rsidP="001A3D3B">
      <w:pPr>
        <w:jc w:val="both"/>
      </w:pPr>
      <w:r w:rsidRPr="008C347E">
        <w:t xml:space="preserve">Il </w:t>
      </w:r>
      <w:r w:rsidR="00FB122B">
        <w:t>Piano</w:t>
      </w:r>
      <w:r w:rsidRPr="008C347E">
        <w:t xml:space="preserve"> aziendale dovrà prevedere:</w:t>
      </w:r>
    </w:p>
    <w:p w14:paraId="72FC1C63" w14:textId="77777777" w:rsidR="0069305B" w:rsidRPr="008C347E" w:rsidRDefault="0069305B" w:rsidP="001A3D3B">
      <w:pPr>
        <w:jc w:val="both"/>
      </w:pPr>
      <w:r w:rsidRPr="008C347E">
        <w:t>●</w:t>
      </w:r>
      <w:r w:rsidRPr="008C347E">
        <w:tab/>
        <w:t>dimensionamento dell’offerta e della sua distribuzione;</w:t>
      </w:r>
    </w:p>
    <w:p w14:paraId="4CDA02FE" w14:textId="77777777" w:rsidR="0069305B" w:rsidRPr="008C347E" w:rsidRDefault="0069305B" w:rsidP="001A3D3B">
      <w:pPr>
        <w:jc w:val="both"/>
      </w:pPr>
      <w:r w:rsidRPr="008C347E">
        <w:t>●</w:t>
      </w:r>
      <w:r w:rsidRPr="008C347E">
        <w:tab/>
        <w:t>dimensionamento delle risorse presenti/dedicate ai diversi punti di erogazione;</w:t>
      </w:r>
    </w:p>
    <w:p w14:paraId="62B19C05" w14:textId="77777777" w:rsidR="0069305B" w:rsidRPr="008C347E" w:rsidRDefault="0069305B" w:rsidP="001A3D3B">
      <w:pPr>
        <w:jc w:val="both"/>
      </w:pPr>
      <w:r w:rsidRPr="008C347E">
        <w:t>●</w:t>
      </w:r>
      <w:r w:rsidRPr="008C347E">
        <w:tab/>
        <w:t>dimensionamento della domanda;</w:t>
      </w:r>
    </w:p>
    <w:p w14:paraId="52BB4C2C" w14:textId="77777777" w:rsidR="0069305B" w:rsidRPr="008C347E" w:rsidRDefault="0069305B" w:rsidP="001A3D3B">
      <w:pPr>
        <w:jc w:val="both"/>
      </w:pPr>
      <w:r w:rsidRPr="008C347E">
        <w:t>●</w:t>
      </w:r>
      <w:r w:rsidRPr="008C347E">
        <w:tab/>
        <w:t>presenza di diversi erogatori, sia pubblici sia privati accreditati;</w:t>
      </w:r>
    </w:p>
    <w:p w14:paraId="76662473" w14:textId="77777777" w:rsidR="0069305B" w:rsidRPr="008C347E" w:rsidRDefault="0069305B" w:rsidP="001A3D3B">
      <w:pPr>
        <w:jc w:val="both"/>
      </w:pPr>
      <w:r w:rsidRPr="008C347E">
        <w:t>●</w:t>
      </w:r>
      <w:r w:rsidRPr="008C347E">
        <w:tab/>
        <w:t>livello di complessità della prestazione (basso, medio, alto, altissimo)</w:t>
      </w:r>
      <w:r w:rsidR="00CA0759" w:rsidRPr="008C347E">
        <w:t>.</w:t>
      </w:r>
    </w:p>
    <w:p w14:paraId="1D5F819B" w14:textId="06B93CB3" w:rsidR="009E7714" w:rsidRPr="00962E76" w:rsidRDefault="00FC685B" w:rsidP="009E7714">
      <w:pPr>
        <w:jc w:val="both"/>
      </w:pPr>
      <w:r w:rsidRPr="00962E76">
        <w:lastRenderedPageBreak/>
        <w:t>Tuttavia, l</w:t>
      </w:r>
      <w:r w:rsidR="0069305B" w:rsidRPr="00962E76">
        <w:t>e Aziende</w:t>
      </w:r>
      <w:r w:rsidR="008866E6" w:rsidRPr="00962E76">
        <w:t>, relativamente alle prestazioni oggetto del presente piano,</w:t>
      </w:r>
      <w:r w:rsidR="0069305B" w:rsidRPr="00962E76">
        <w:t xml:space="preserve"> </w:t>
      </w:r>
      <w:r w:rsidR="008866E6" w:rsidRPr="00962E76">
        <w:t xml:space="preserve">anche facendo ricorso a specifici accordi tra le parti, sono tenute ad individuare </w:t>
      </w:r>
      <w:r w:rsidR="0069305B" w:rsidRPr="00962E76">
        <w:t xml:space="preserve">percorsi di tutela che, sulla base dello specifico contesto, garantiscano l’accesso alle prestazioni per i cittadini con età superiore ai 75 anni </w:t>
      </w:r>
      <w:r w:rsidR="009E7714" w:rsidRPr="00962E76">
        <w:t>e con invalidità civile del 100%,</w:t>
      </w:r>
      <w:r w:rsidR="008866E6" w:rsidRPr="00962E76">
        <w:t xml:space="preserve"> </w:t>
      </w:r>
      <w:r w:rsidR="009E7714" w:rsidRPr="00962E76">
        <w:t>secondo il criterio della massima prossimità possibile. Il criterio della prossimità, in questi casi, per le visite deve essere garantito a livello distrettuale e la diagnostica a livello aziendale.</w:t>
      </w:r>
    </w:p>
    <w:p w14:paraId="2AA81986" w14:textId="77777777" w:rsidR="0069305B" w:rsidRPr="00962E76" w:rsidRDefault="0069305B" w:rsidP="001A3D3B">
      <w:pPr>
        <w:jc w:val="both"/>
      </w:pPr>
      <w:r w:rsidRPr="00962E76">
        <w:t>Le Aziende utilizzeranno i suddetti criteri, che hanno carattere indicativo e non esaustivo, nella definizione degli ambiti di garanzia per ogni prestazione oggetto di monitoraggio.</w:t>
      </w:r>
    </w:p>
    <w:p w14:paraId="0DE7F5F6" w14:textId="77777777" w:rsidR="00E00B25" w:rsidRPr="00962E76" w:rsidRDefault="0069305B" w:rsidP="001A3D3B">
      <w:pPr>
        <w:jc w:val="both"/>
      </w:pPr>
      <w:r w:rsidRPr="00962E76">
        <w:t>Qualora l’assistito scelga liberamente di prenotare la prestazione presso una struttura</w:t>
      </w:r>
      <w:r w:rsidR="00E849FD" w:rsidRPr="00962E76">
        <w:t xml:space="preserve"> diversa</w:t>
      </w:r>
      <w:r w:rsidRPr="00962E76">
        <w:t>, rinunciando alla</w:t>
      </w:r>
      <w:r w:rsidR="00D7146E" w:rsidRPr="00962E76">
        <w:t xml:space="preserve"> </w:t>
      </w:r>
      <w:r w:rsidRPr="00962E76">
        <w:t>prima disponibilità offerta nell'ambito del bacino di garanzia e nel rispetto dei tempi di attesa definiti dalla priorità della prescrizione, la garanzia decade</w:t>
      </w:r>
      <w:r w:rsidR="00E00B25" w:rsidRPr="00962E76">
        <w:t>.</w:t>
      </w:r>
      <w:r w:rsidRPr="00962E76">
        <w:t xml:space="preserve"> </w:t>
      </w:r>
    </w:p>
    <w:p w14:paraId="16D38E66" w14:textId="77777777" w:rsidR="0069305B" w:rsidRPr="00962E76" w:rsidRDefault="0069305B" w:rsidP="00EC4A2D">
      <w:pPr>
        <w:pStyle w:val="Paragrafoelenco"/>
        <w:numPr>
          <w:ilvl w:val="0"/>
          <w:numId w:val="8"/>
        </w:numPr>
        <w:jc w:val="both"/>
        <w:rPr>
          <w:b/>
        </w:rPr>
      </w:pPr>
      <w:r w:rsidRPr="00962E76">
        <w:rPr>
          <w:b/>
        </w:rPr>
        <w:t>Governo</w:t>
      </w:r>
      <w:r w:rsidR="000A5AC4" w:rsidRPr="00962E76">
        <w:rPr>
          <w:b/>
        </w:rPr>
        <w:t xml:space="preserve"> </w:t>
      </w:r>
      <w:r w:rsidRPr="00962E76">
        <w:rPr>
          <w:b/>
        </w:rPr>
        <w:t>dell’offerta</w:t>
      </w:r>
      <w:r w:rsidR="000A5AC4" w:rsidRPr="00962E76">
        <w:rPr>
          <w:b/>
        </w:rPr>
        <w:t xml:space="preserve"> </w:t>
      </w:r>
      <w:r w:rsidRPr="00962E76">
        <w:rPr>
          <w:b/>
        </w:rPr>
        <w:t>attraverso</w:t>
      </w:r>
      <w:r w:rsidR="000A5AC4" w:rsidRPr="00962E76">
        <w:rPr>
          <w:b/>
        </w:rPr>
        <w:t xml:space="preserve"> </w:t>
      </w:r>
      <w:r w:rsidRPr="00962E76">
        <w:rPr>
          <w:b/>
        </w:rPr>
        <w:t>strumenti</w:t>
      </w:r>
      <w:r w:rsidR="000A5AC4" w:rsidRPr="00962E76">
        <w:rPr>
          <w:b/>
        </w:rPr>
        <w:t xml:space="preserve"> </w:t>
      </w:r>
      <w:r w:rsidRPr="00962E76">
        <w:rPr>
          <w:b/>
        </w:rPr>
        <w:t>finalizzati all’ottimizzazione nell’uso delle risorse disponibili</w:t>
      </w:r>
    </w:p>
    <w:p w14:paraId="4D0AA317" w14:textId="2D64A842" w:rsidR="000A5AC4" w:rsidRPr="000A5AC4" w:rsidRDefault="0069305B" w:rsidP="001A3D3B">
      <w:pPr>
        <w:jc w:val="both"/>
      </w:pPr>
      <w:r w:rsidRPr="00962E76">
        <w:t>Alcune delle modalità operative</w:t>
      </w:r>
      <w:r w:rsidR="009E7714" w:rsidRPr="00962E76">
        <w:t xml:space="preserve"> aziendali</w:t>
      </w:r>
      <w:r w:rsidR="00336CC8" w:rsidRPr="00962E76">
        <w:t xml:space="preserve"> </w:t>
      </w:r>
      <w:r w:rsidRPr="00962E76">
        <w:t xml:space="preserve">volte ad equilibrare </w:t>
      </w:r>
      <w:r w:rsidRPr="000A5AC4">
        <w:t>domanda e offerta sono:</w:t>
      </w:r>
    </w:p>
    <w:p w14:paraId="2C1F8080" w14:textId="77777777" w:rsidR="000A5AC4" w:rsidRPr="000A5AC4" w:rsidRDefault="0069305B" w:rsidP="001A3D3B">
      <w:pPr>
        <w:pStyle w:val="Paragrafoelenco"/>
        <w:numPr>
          <w:ilvl w:val="0"/>
          <w:numId w:val="30"/>
        </w:numPr>
        <w:jc w:val="both"/>
      </w:pPr>
      <w:r w:rsidRPr="000A5AC4">
        <w:t xml:space="preserve">gestione delle agende con l’adozione di un sistema di </w:t>
      </w:r>
      <w:proofErr w:type="spellStart"/>
      <w:r w:rsidRPr="00F15158">
        <w:rPr>
          <w:i/>
        </w:rPr>
        <w:t>recall</w:t>
      </w:r>
      <w:proofErr w:type="spellEnd"/>
      <w:r w:rsidRPr="00F15158">
        <w:rPr>
          <w:i/>
        </w:rPr>
        <w:t>,</w:t>
      </w:r>
      <w:r w:rsidRPr="000A5AC4">
        <w:t xml:space="preserve"> </w:t>
      </w:r>
      <w:r w:rsidR="000A5AC4" w:rsidRPr="000A5AC4">
        <w:t>c</w:t>
      </w:r>
      <w:r w:rsidRPr="000A5AC4">
        <w:t>on recupero sistematico degli eventuali spazi resisi disponibili, per i livelli di priorità B, D e P;</w:t>
      </w:r>
    </w:p>
    <w:p w14:paraId="4F916B7E" w14:textId="77777777" w:rsidR="000A5AC4" w:rsidRPr="000A5AC4" w:rsidRDefault="0069305B" w:rsidP="001A3D3B">
      <w:pPr>
        <w:pStyle w:val="Paragrafoelenco"/>
        <w:numPr>
          <w:ilvl w:val="0"/>
          <w:numId w:val="30"/>
        </w:numPr>
        <w:jc w:val="both"/>
      </w:pPr>
      <w:r w:rsidRPr="000A5AC4">
        <w:t>manutenzione delle liste di attesa, registrando rifiuti e modifiche dei bisogni di salute;</w:t>
      </w:r>
    </w:p>
    <w:p w14:paraId="18D59512" w14:textId="77777777" w:rsidR="000A5AC4" w:rsidRPr="000A5AC4" w:rsidRDefault="0069305B" w:rsidP="001A3D3B">
      <w:pPr>
        <w:pStyle w:val="Paragrafoelenco"/>
        <w:numPr>
          <w:ilvl w:val="0"/>
          <w:numId w:val="30"/>
        </w:numPr>
        <w:jc w:val="both"/>
      </w:pPr>
      <w:r w:rsidRPr="000A5AC4">
        <w:t xml:space="preserve">ricorso agli istituti contrattuali più opportuni, tra quelli previsti dalla normativa vigente </w:t>
      </w:r>
      <w:r w:rsidR="005464C6" w:rsidRPr="000A5AC4">
        <w:t xml:space="preserve">per l’incremento dell’offerta </w:t>
      </w:r>
      <w:r w:rsidRPr="000A5AC4">
        <w:t>(come l’acquisto di prestazioni da personale dipendente da erogare in regime libero professionale aziendale), ai fini di ampliare l’orario di attività dei servizi ambulatoriali e diagnostici attraverso l’apertura delle struttur</w:t>
      </w:r>
      <w:r w:rsidR="000A5AC4" w:rsidRPr="000A5AC4">
        <w:t>e</w:t>
      </w:r>
      <w:r w:rsidRPr="000A5AC4">
        <w:t xml:space="preserve"> anche nelle ore serali e durante il fine settimana;</w:t>
      </w:r>
    </w:p>
    <w:p w14:paraId="54C49447" w14:textId="77777777" w:rsidR="000A5AC4" w:rsidRPr="000A5AC4" w:rsidRDefault="0069305B" w:rsidP="001A3D3B">
      <w:pPr>
        <w:pStyle w:val="Paragrafoelenco"/>
        <w:numPr>
          <w:ilvl w:val="0"/>
          <w:numId w:val="30"/>
        </w:numPr>
        <w:jc w:val="both"/>
      </w:pPr>
      <w:r w:rsidRPr="000A5AC4">
        <w:t>acquisto di pacchetti di attività da medici specialisti ambulatoriali interni;</w:t>
      </w:r>
    </w:p>
    <w:p w14:paraId="14793F3D" w14:textId="77777777" w:rsidR="000A5AC4" w:rsidRPr="000A5AC4" w:rsidRDefault="0069305B" w:rsidP="001A3D3B">
      <w:pPr>
        <w:pStyle w:val="Paragrafoelenco"/>
        <w:numPr>
          <w:ilvl w:val="0"/>
          <w:numId w:val="30"/>
        </w:numPr>
        <w:jc w:val="both"/>
      </w:pPr>
      <w:r w:rsidRPr="000A5AC4">
        <w:t>acquisto di prestazioni da erogatori privati accreditati secondo le modalità previste dalla vigente normativa, anche tramite l’utilizzo di eventuali fondi aggiuntivi;</w:t>
      </w:r>
    </w:p>
    <w:p w14:paraId="0A7BB9AA" w14:textId="0CDEDCFB" w:rsidR="000A5AC4" w:rsidRDefault="0069305B" w:rsidP="001A3D3B">
      <w:pPr>
        <w:pStyle w:val="Paragrafoelenco"/>
        <w:numPr>
          <w:ilvl w:val="0"/>
          <w:numId w:val="30"/>
        </w:numPr>
        <w:jc w:val="both"/>
      </w:pPr>
      <w:r w:rsidRPr="000A5AC4">
        <w:t>riorganizzazione dell’utilizzo e/o revisione logistica della distribuzione, nell’Azienda, delle grandi apparecchiature</w:t>
      </w:r>
      <w:r w:rsidR="00E23B4E">
        <w:t>.</w:t>
      </w:r>
    </w:p>
    <w:p w14:paraId="0AA71E8D" w14:textId="77777777" w:rsidR="00E23B4E" w:rsidRPr="00962E76" w:rsidRDefault="00E23B4E" w:rsidP="00E23B4E">
      <w:pPr>
        <w:jc w:val="both"/>
      </w:pPr>
      <w:r w:rsidRPr="00962E76">
        <w:t>Le Aziende sanitarie devono utilizzare anche l’offerta territoriale della FARMACIA DEI SERVIZI per l’esecuzione di prestazioni analitiche di primo e secondo livello, (con particolare riguardo a ECG, holter pressorio, holter cardiaco) mediante l’utilizzo di strumentazione proprietaria, e in collegamento funzionale con centri di cardiologia.</w:t>
      </w:r>
    </w:p>
    <w:p w14:paraId="478E7291" w14:textId="746AF9AC" w:rsidR="000A5AC4" w:rsidRPr="00962E76" w:rsidRDefault="005464C6" w:rsidP="005464C6">
      <w:pPr>
        <w:jc w:val="both"/>
      </w:pPr>
      <w:r w:rsidRPr="00962E76">
        <w:t>Per</w:t>
      </w:r>
      <w:r w:rsidR="0069305B" w:rsidRPr="00962E76">
        <w:t xml:space="preserve"> le prestazioni che richiedano attrezzature di particolare complessità tecnologica, dovrà </w:t>
      </w:r>
      <w:r w:rsidR="00E23B4E" w:rsidRPr="00962E76">
        <w:t>essere favorita l’attività istituzionale rispetto alla</w:t>
      </w:r>
      <w:r w:rsidR="0069305B" w:rsidRPr="00962E76">
        <w:t xml:space="preserve"> libera professione intramoenia</w:t>
      </w:r>
      <w:r w:rsidRPr="00962E76">
        <w:t>.</w:t>
      </w:r>
    </w:p>
    <w:p w14:paraId="3ECE0D47" w14:textId="2D746CE6" w:rsidR="0069305B" w:rsidRPr="000A5AC4" w:rsidRDefault="00B84EB9" w:rsidP="005464C6">
      <w:pPr>
        <w:jc w:val="both"/>
      </w:pPr>
      <w:r w:rsidRPr="00962E76">
        <w:t xml:space="preserve">Per tutte le prestazioni per le quali si verifica il superamento dei tempi di attesa di cui al punto 1.1. del presente piano, il Direttore Generale è responsabilizzato relativamente al monitoraggio ed alla messa in atto di azioni finalizzate a </w:t>
      </w:r>
      <w:r w:rsidR="0069305B" w:rsidRPr="00962E76">
        <w:t>ridurre o sospendere l’attività in regime di</w:t>
      </w:r>
      <w:r w:rsidR="00B90CB9" w:rsidRPr="00962E76">
        <w:t xml:space="preserve"> libera professione intramoenia</w:t>
      </w:r>
      <w:r w:rsidR="005464C6" w:rsidRPr="00962E76">
        <w:t>,</w:t>
      </w:r>
      <w:r w:rsidR="00B90CB9" w:rsidRPr="00962E76">
        <w:t xml:space="preserve"> </w:t>
      </w:r>
      <w:r w:rsidR="0069305B" w:rsidRPr="00962E76">
        <w:t xml:space="preserve">allo scopo di convogliare risorse, spazi e attrezzature verso l’attività </w:t>
      </w:r>
      <w:r w:rsidR="0069305B" w:rsidRPr="000A5AC4">
        <w:t>istituzionale ai fini di mantenere il rispetto dei tempi di attesa.</w:t>
      </w:r>
    </w:p>
    <w:p w14:paraId="0F2452FA" w14:textId="77777777" w:rsidR="0069305B" w:rsidRPr="000A5AC4" w:rsidRDefault="0069305B" w:rsidP="00EC4A2D">
      <w:pPr>
        <w:pStyle w:val="Paragrafoelenco"/>
        <w:numPr>
          <w:ilvl w:val="0"/>
          <w:numId w:val="8"/>
        </w:numPr>
        <w:jc w:val="both"/>
        <w:rPr>
          <w:b/>
        </w:rPr>
      </w:pPr>
      <w:r w:rsidRPr="000A5AC4">
        <w:rPr>
          <w:b/>
        </w:rPr>
        <w:t>Accesso ambulatoriale tramite uso diffuso del CUP</w:t>
      </w:r>
    </w:p>
    <w:p w14:paraId="7F900C1F" w14:textId="77777777" w:rsidR="0069305B" w:rsidRPr="00EB3C7E" w:rsidRDefault="0069305B" w:rsidP="001A3D3B">
      <w:pPr>
        <w:jc w:val="both"/>
      </w:pPr>
      <w:r w:rsidRPr="00EB3C7E">
        <w:t xml:space="preserve">L’accesso ambulatoriale deve avvenire tramite prenotazione in agende informatizzate afferenti al Centro Unico di Prenotazione (CUP) </w:t>
      </w:r>
      <w:r w:rsidR="001A1956" w:rsidRPr="00EB3C7E">
        <w:t>regionale</w:t>
      </w:r>
      <w:r w:rsidRPr="00EB3C7E">
        <w:t>, in cui siano inserite tutte le prestazioni di assistenza specialistica ambulatoriale erogabili</w:t>
      </w:r>
      <w:r w:rsidR="00EB3C7E" w:rsidRPr="00EB3C7E">
        <w:t xml:space="preserve">, ovvero la </w:t>
      </w:r>
      <w:r w:rsidRPr="00EB3C7E">
        <w:t>prenotazione</w:t>
      </w:r>
      <w:r w:rsidR="00EB3C7E" w:rsidRPr="00EB3C7E">
        <w:t xml:space="preserve"> deve essere </w:t>
      </w:r>
      <w:r w:rsidRPr="00EB3C7E">
        <w:t>effettuata contestualmente alla prescrizione direttamente da operatori sanitari in caso di “</w:t>
      </w:r>
      <w:r w:rsidRPr="00B90CB9">
        <w:rPr>
          <w:i/>
        </w:rPr>
        <w:t>presa in carico</w:t>
      </w:r>
      <w:r w:rsidRPr="00EB3C7E">
        <w:t>”</w:t>
      </w:r>
      <w:r w:rsidR="00B90CB9">
        <w:t>.</w:t>
      </w:r>
    </w:p>
    <w:p w14:paraId="542E0728" w14:textId="77777777" w:rsidR="0069305B" w:rsidRPr="00962E76" w:rsidRDefault="002E47E0" w:rsidP="001A3D3B">
      <w:pPr>
        <w:jc w:val="both"/>
      </w:pPr>
      <w:r w:rsidRPr="00EB3C7E">
        <w:lastRenderedPageBreak/>
        <w:t>Le</w:t>
      </w:r>
      <w:r w:rsidR="0069305B" w:rsidRPr="00EB3C7E">
        <w:t xml:space="preserve"> Aziende devono garantire una comunicazione e sensibilizzazione efficaci verso gli utenti e per gli operatori addetti alle prenotazioni, relativamente alle modalità di prenotazione e accesso a visite, prestazioni e ricoveri, utilizzando e implementando tutti gli strumenti informativi disponibili, </w:t>
      </w:r>
      <w:r w:rsidR="0069305B" w:rsidRPr="00962E76">
        <w:t>adeguandosi alle indicazioni regionali</w:t>
      </w:r>
      <w:r w:rsidR="00B90CB9" w:rsidRPr="00962E76">
        <w:t>,</w:t>
      </w:r>
      <w:r w:rsidR="0069305B" w:rsidRPr="00962E76">
        <w:t xml:space="preserve"> volte all’omogeneizzazione e alla standardizzazione delle procedure di accesso alla prenotazione delle prestazioni specialistiche.</w:t>
      </w:r>
    </w:p>
    <w:p w14:paraId="04D57A27" w14:textId="5C35D3BD" w:rsidR="00E30045" w:rsidRPr="00962E76" w:rsidRDefault="0069305B" w:rsidP="00E30045">
      <w:pPr>
        <w:jc w:val="both"/>
      </w:pPr>
      <w:r w:rsidRPr="00962E76">
        <w:t>Le Aziende devono</w:t>
      </w:r>
      <w:r w:rsidR="00EB3C7E" w:rsidRPr="00962E76">
        <w:t xml:space="preserve">, altresì, </w:t>
      </w:r>
      <w:r w:rsidRPr="00962E76">
        <w:t>informare il cittadino in caso di sospensione temporanea dell’erogazione della prestazione prenotata e ricontattarlo in tempi brevi e coerenti con il bisogno di salute per un nuovo appuntamento</w:t>
      </w:r>
      <w:r w:rsidR="0037293E" w:rsidRPr="00962E76">
        <w:t xml:space="preserve"> in relazione alla tipologia di prestazioni.</w:t>
      </w:r>
    </w:p>
    <w:p w14:paraId="0CBBDDDF" w14:textId="77777777" w:rsidR="0069305B" w:rsidRPr="00962E76" w:rsidRDefault="0069305B" w:rsidP="00E30045">
      <w:pPr>
        <w:pStyle w:val="Paragrafoelenco"/>
        <w:numPr>
          <w:ilvl w:val="0"/>
          <w:numId w:val="8"/>
        </w:numPr>
        <w:jc w:val="both"/>
        <w:rPr>
          <w:b/>
        </w:rPr>
      </w:pPr>
      <w:r w:rsidRPr="00962E76">
        <w:rPr>
          <w:b/>
        </w:rPr>
        <w:t>Disdetta delle prenotazioni</w:t>
      </w:r>
    </w:p>
    <w:p w14:paraId="1E3B743A" w14:textId="16A7B969" w:rsidR="00EC4A2D" w:rsidRPr="00962E76" w:rsidRDefault="0069305B" w:rsidP="001A3D3B">
      <w:pPr>
        <w:jc w:val="both"/>
      </w:pPr>
      <w:r w:rsidRPr="00962E76">
        <w:t xml:space="preserve">In materia di mancata disdetta, le Aziende </w:t>
      </w:r>
      <w:r w:rsidR="005E611E" w:rsidRPr="00962E76">
        <w:t xml:space="preserve">devono adottare </w:t>
      </w:r>
      <w:r w:rsidRPr="00962E76">
        <w:t>un percorso di recupero della tariffa della prestazione, da applicare anche agli esenti</w:t>
      </w:r>
      <w:r w:rsidR="00601117" w:rsidRPr="00962E76">
        <w:t>. L</w:t>
      </w:r>
      <w:r w:rsidRPr="00962E76">
        <w:t>’assistito che non si presenta nel giorno previsto per l’erogazione della prestazione, senza aver dato idonea disdetta</w:t>
      </w:r>
      <w:r w:rsidR="00601117" w:rsidRPr="00962E76">
        <w:t xml:space="preserve"> entro il termine di 4 giorni lavorativi rispetto alla data dell’appuntamento</w:t>
      </w:r>
      <w:r w:rsidRPr="00962E76">
        <w:t xml:space="preserve">, fatti salvi i casi </w:t>
      </w:r>
      <w:r w:rsidR="004F73CF" w:rsidRPr="00962E76">
        <w:t>di impossibilità per motivi sanitari certificati</w:t>
      </w:r>
      <w:r w:rsidRPr="00962E76">
        <w:t xml:space="preserve">, è tenuto al pagamento </w:t>
      </w:r>
      <w:r w:rsidR="004F73CF" w:rsidRPr="00962E76">
        <w:t>del ticket massimo previsto per la prestazione</w:t>
      </w:r>
      <w:r w:rsidRPr="00962E76">
        <w:t>, anche se esente dalla partecipazione alla spesa sanitaria.</w:t>
      </w:r>
      <w:r w:rsidR="00601117" w:rsidRPr="00962E76">
        <w:t xml:space="preserve"> </w:t>
      </w:r>
      <w:r w:rsidRPr="00962E76">
        <w:t>Devono pertanto essere previsti in tali casi strumenti trasparenti e accessibili per il recupero del valore della prestazione.</w:t>
      </w:r>
      <w:r w:rsidR="00DD37BB" w:rsidRPr="00962E76">
        <w:t xml:space="preserve"> La mancata comunicazione si intende conferma</w:t>
      </w:r>
      <w:r w:rsidR="004F73CF" w:rsidRPr="00962E76">
        <w:t>ta</w:t>
      </w:r>
      <w:r w:rsidR="00DD37BB" w:rsidRPr="00962E76">
        <w:t>.</w:t>
      </w:r>
    </w:p>
    <w:p w14:paraId="69E6A218" w14:textId="2944BD2F" w:rsidR="00650FA5" w:rsidRDefault="00650FA5" w:rsidP="00650FA5">
      <w:pPr>
        <w:autoSpaceDE w:val="0"/>
        <w:autoSpaceDN w:val="0"/>
        <w:adjustRightInd w:val="0"/>
        <w:spacing w:after="0" w:line="240" w:lineRule="auto"/>
        <w:jc w:val="both"/>
      </w:pPr>
      <w:r w:rsidRPr="00962E76">
        <w:t xml:space="preserve">Al CUP compete, altresì, un sistema di </w:t>
      </w:r>
      <w:proofErr w:type="spellStart"/>
      <w:r w:rsidRPr="00962E76">
        <w:rPr>
          <w:i/>
        </w:rPr>
        <w:t>re</w:t>
      </w:r>
      <w:r w:rsidR="00A865F8" w:rsidRPr="00962E76">
        <w:rPr>
          <w:i/>
        </w:rPr>
        <w:t>mind</w:t>
      </w:r>
      <w:proofErr w:type="spellEnd"/>
      <w:r w:rsidRPr="00962E76">
        <w:rPr>
          <w:i/>
        </w:rPr>
        <w:t xml:space="preserve"> </w:t>
      </w:r>
      <w:r w:rsidRPr="00962E76">
        <w:t xml:space="preserve">e di disdetta delle prenotazioni, per ricordare all'assistito la data di erogazione della prestazione, per richiedere </w:t>
      </w:r>
      <w:r w:rsidRPr="00650FA5">
        <w:t>la conferma o la cancellazione della</w:t>
      </w:r>
      <w:r>
        <w:t xml:space="preserve"> </w:t>
      </w:r>
      <w:r w:rsidRPr="00650FA5">
        <w:t>prenotazione, da effettuarsi almeno due giorni lavorativi prima dell'erogazione della prestazione, anche da remoto, come previsto dall’art. 3 comma 5 del DL 73/2024.</w:t>
      </w:r>
    </w:p>
    <w:p w14:paraId="4FE5686E" w14:textId="77777777" w:rsidR="00C82EB6" w:rsidRPr="00650FA5" w:rsidRDefault="00C82EB6" w:rsidP="00650FA5">
      <w:pPr>
        <w:autoSpaceDE w:val="0"/>
        <w:autoSpaceDN w:val="0"/>
        <w:adjustRightInd w:val="0"/>
        <w:spacing w:after="0" w:line="240" w:lineRule="auto"/>
        <w:jc w:val="both"/>
      </w:pPr>
    </w:p>
    <w:p w14:paraId="2EE42B83" w14:textId="77777777" w:rsidR="0069305B" w:rsidRPr="00604A9A" w:rsidRDefault="0069305B" w:rsidP="00A57AC9">
      <w:pPr>
        <w:pStyle w:val="Paragrafoelenco"/>
        <w:numPr>
          <w:ilvl w:val="0"/>
          <w:numId w:val="19"/>
        </w:numPr>
        <w:jc w:val="both"/>
        <w:rPr>
          <w:b/>
        </w:rPr>
      </w:pPr>
      <w:r w:rsidRPr="00604A9A">
        <w:rPr>
          <w:b/>
        </w:rPr>
        <w:t>Visibilità delle agende di prenotazione</w:t>
      </w:r>
    </w:p>
    <w:p w14:paraId="02661B7B" w14:textId="77777777" w:rsidR="00D20AC7" w:rsidRPr="00962E76" w:rsidRDefault="00D20AC7" w:rsidP="00D20AC7">
      <w:pPr>
        <w:jc w:val="both"/>
      </w:pPr>
      <w:r w:rsidRPr="00604A9A">
        <w:t xml:space="preserve">La visibilità delle agende di prenotazione deve essere interamente fruibile a livello Aziendale e </w:t>
      </w:r>
      <w:r w:rsidRPr="00962E76">
        <w:t xml:space="preserve">comprensiva dell’offerta delle strutture private accreditate. </w:t>
      </w:r>
    </w:p>
    <w:p w14:paraId="2238FDD3" w14:textId="23877127" w:rsidR="00D20AC7" w:rsidRDefault="00D20AC7" w:rsidP="00D20AC7">
      <w:pPr>
        <w:autoSpaceDE w:val="0"/>
        <w:autoSpaceDN w:val="0"/>
        <w:adjustRightInd w:val="0"/>
        <w:spacing w:after="0" w:line="240" w:lineRule="auto"/>
        <w:jc w:val="both"/>
      </w:pPr>
      <w:r w:rsidRPr="00962E76">
        <w:t>La chiusura/indisponibilità delle agende di prenotazione è inderogabilmente vietata presso tutte le strutture pubbliche e private accreditate, senza alcuna eccezione</w:t>
      </w:r>
      <w:r w:rsidR="007449DF" w:rsidRPr="00962E76">
        <w:t xml:space="preserve"> ai sensi </w:t>
      </w:r>
      <w:r w:rsidR="00D74EC1" w:rsidRPr="00962E76">
        <w:t>dell’art. 1 c.284 della Legge 266/2005</w:t>
      </w:r>
      <w:r w:rsidRPr="00962E76">
        <w:t xml:space="preserve">. Il controllo dell’eventuale chiusura delle agende sarà a cura di AGENAS, ai sensi dell’art.1 comma 1 del decreto legge n. 73/2024. A fronte di inefficienze e anomalie emerse a seguito del controllo delle agende di prenotazione, l’AGENAS può attuare meccanismi di audit </w:t>
      </w:r>
      <w:r w:rsidRPr="002C7345">
        <w:t>nei confronti delle Regioni/PA nei cui territori insistono le aziende sanitarie e ospedaliere titolari delle suddette agende come previsto dall’art. 2 comma 6 del decreto legge n. 73/2024.</w:t>
      </w:r>
    </w:p>
    <w:p w14:paraId="7F6E4DB6" w14:textId="77777777" w:rsidR="00392C5E" w:rsidRDefault="00392C5E" w:rsidP="00D20AC7">
      <w:pPr>
        <w:autoSpaceDE w:val="0"/>
        <w:autoSpaceDN w:val="0"/>
        <w:adjustRightInd w:val="0"/>
        <w:spacing w:after="0" w:line="240" w:lineRule="auto"/>
        <w:jc w:val="both"/>
      </w:pPr>
    </w:p>
    <w:p w14:paraId="45A82997" w14:textId="77777777" w:rsidR="0069305B" w:rsidRPr="00604A9A" w:rsidRDefault="0069305B" w:rsidP="00A57AC9">
      <w:pPr>
        <w:pStyle w:val="Paragrafoelenco"/>
        <w:numPr>
          <w:ilvl w:val="0"/>
          <w:numId w:val="19"/>
        </w:numPr>
        <w:jc w:val="both"/>
        <w:rPr>
          <w:b/>
        </w:rPr>
      </w:pPr>
      <w:r w:rsidRPr="00604A9A">
        <w:rPr>
          <w:b/>
        </w:rPr>
        <w:t>RAO</w:t>
      </w:r>
      <w:r w:rsidR="005F3EBC">
        <w:rPr>
          <w:b/>
        </w:rPr>
        <w:t xml:space="preserve"> </w:t>
      </w:r>
      <w:proofErr w:type="gramStart"/>
      <w:r w:rsidR="005F3EBC">
        <w:rPr>
          <w:b/>
        </w:rPr>
        <w:t>( Raggruppamento</w:t>
      </w:r>
      <w:proofErr w:type="gramEnd"/>
      <w:r w:rsidR="005F3EBC">
        <w:rPr>
          <w:b/>
        </w:rPr>
        <w:t xml:space="preserve"> di Attesa Omogenei) </w:t>
      </w:r>
      <w:r w:rsidRPr="00604A9A">
        <w:rPr>
          <w:b/>
        </w:rPr>
        <w:t xml:space="preserve"> e appropriatezza prescrittiva</w:t>
      </w:r>
    </w:p>
    <w:p w14:paraId="5F50640A" w14:textId="77777777" w:rsidR="00B44712" w:rsidRPr="00962E76" w:rsidRDefault="00B44712" w:rsidP="001A3D3B">
      <w:pPr>
        <w:jc w:val="both"/>
      </w:pPr>
      <w:r w:rsidRPr="00604A9A">
        <w:t xml:space="preserve">Il metodo RAO ha l’obiettivo di definire, per i cittadini/pazienti che accedono alle prestazioni specialistiche ambulatoriali erogate direttamente dal SSN o per conto del SSN, una coerenza tra i </w:t>
      </w:r>
      <w:r w:rsidRPr="00962E76">
        <w:t>tempi massimi di attesa e le condizioni di salute, stabilendo criteri clinici espliciti concordati.</w:t>
      </w:r>
    </w:p>
    <w:p w14:paraId="2515BA23" w14:textId="7047027E" w:rsidR="00165BF1" w:rsidRPr="00962E76" w:rsidRDefault="00B44712" w:rsidP="00165BF1">
      <w:pPr>
        <w:jc w:val="both"/>
      </w:pPr>
      <w:r w:rsidRPr="00962E76">
        <w:t xml:space="preserve">In attesa del nuovo PNGLA e dell’aggiornamento </w:t>
      </w:r>
      <w:r w:rsidR="005C75FA" w:rsidRPr="00962E76">
        <w:t xml:space="preserve">dei </w:t>
      </w:r>
      <w:r w:rsidRPr="00962E76">
        <w:t xml:space="preserve">RAO, le Aziende dovranno </w:t>
      </w:r>
      <w:r w:rsidR="005C75FA" w:rsidRPr="00962E76">
        <w:t xml:space="preserve">far riferimento ai RAO </w:t>
      </w:r>
      <w:r w:rsidRPr="00962E76">
        <w:t>individua</w:t>
      </w:r>
      <w:r w:rsidR="005C75FA" w:rsidRPr="00962E76">
        <w:t xml:space="preserve">ti </w:t>
      </w:r>
      <w:r w:rsidR="00903A90" w:rsidRPr="00962E76">
        <w:t>nel PNGLA 2019-2021</w:t>
      </w:r>
      <w:r w:rsidR="00D2227E" w:rsidRPr="00962E76">
        <w:t>.</w:t>
      </w:r>
    </w:p>
    <w:p w14:paraId="4D40AA36" w14:textId="77777777" w:rsidR="0069305B" w:rsidRPr="00962E76" w:rsidRDefault="0069305B" w:rsidP="00F15158">
      <w:pPr>
        <w:pStyle w:val="Paragrafoelenco"/>
        <w:numPr>
          <w:ilvl w:val="0"/>
          <w:numId w:val="19"/>
        </w:numPr>
        <w:jc w:val="both"/>
        <w:rPr>
          <w:b/>
        </w:rPr>
      </w:pPr>
      <w:r w:rsidRPr="00962E76">
        <w:rPr>
          <w:b/>
        </w:rPr>
        <w:t>Definizione e applicazione di “percorsi di tutela”</w:t>
      </w:r>
      <w:r w:rsidR="00184846" w:rsidRPr="00962E76">
        <w:rPr>
          <w:b/>
        </w:rPr>
        <w:t xml:space="preserve">                                                                                                                                                                                                                                                                                            </w:t>
      </w:r>
    </w:p>
    <w:p w14:paraId="44CEC849" w14:textId="652B0B15" w:rsidR="002771C6" w:rsidRPr="00E126D7" w:rsidRDefault="002771C6" w:rsidP="002771C6">
      <w:pPr>
        <w:jc w:val="both"/>
      </w:pPr>
      <w:r w:rsidRPr="00E126D7">
        <w:t xml:space="preserve">Per il </w:t>
      </w:r>
      <w:r>
        <w:t>paziente</w:t>
      </w:r>
      <w:r w:rsidRPr="00E126D7">
        <w:t xml:space="preserve"> è esigibile il diritto di avere la prestazione nei tempi massimi e l</w:t>
      </w:r>
      <w:r>
        <w:t xml:space="preserve">e </w:t>
      </w:r>
      <w:r w:rsidRPr="00E126D7">
        <w:t>Aziend</w:t>
      </w:r>
      <w:r>
        <w:t>e</w:t>
      </w:r>
      <w:r w:rsidRPr="00E126D7">
        <w:t xml:space="preserve"> sanitari</w:t>
      </w:r>
      <w:r>
        <w:t>e del SSR</w:t>
      </w:r>
      <w:r w:rsidRPr="00E126D7">
        <w:t xml:space="preserve"> </w:t>
      </w:r>
      <w:r>
        <w:t xml:space="preserve">sono </w:t>
      </w:r>
      <w:r w:rsidRPr="00E126D7">
        <w:t>tenut</w:t>
      </w:r>
      <w:r>
        <w:t>e</w:t>
      </w:r>
      <w:r w:rsidRPr="00E126D7">
        <w:t xml:space="preserve"> a garantire tale diritto attivando i percorsi di tutela senza che la ricerca di soluzioni alternative debba ricadere sul </w:t>
      </w:r>
      <w:r>
        <w:t>paziente stesso</w:t>
      </w:r>
      <w:r w:rsidRPr="00E126D7">
        <w:t>.</w:t>
      </w:r>
    </w:p>
    <w:p w14:paraId="4BE67D39" w14:textId="1618E603" w:rsidR="007869E3" w:rsidRPr="00E126D7" w:rsidRDefault="007869E3" w:rsidP="001A3D3B">
      <w:pPr>
        <w:jc w:val="both"/>
      </w:pPr>
      <w:r w:rsidRPr="00E126D7">
        <w:lastRenderedPageBreak/>
        <w:t>Nel caso in cui la prestazione di primo accesso non sia garantita nei tempi massimi di attesa, secondo la classe di priorità indicata, l</w:t>
      </w:r>
      <w:r w:rsidR="002771C6">
        <w:t xml:space="preserve">e </w:t>
      </w:r>
      <w:r w:rsidRPr="00E126D7">
        <w:t>Aziend</w:t>
      </w:r>
      <w:r w:rsidR="002771C6">
        <w:t>e</w:t>
      </w:r>
      <w:r w:rsidRPr="00E126D7">
        <w:t xml:space="preserve"> sanitari</w:t>
      </w:r>
      <w:r w:rsidR="002771C6">
        <w:t>e del SSR</w:t>
      </w:r>
      <w:r w:rsidRPr="00E126D7">
        <w:t xml:space="preserve"> attiva</w:t>
      </w:r>
      <w:r w:rsidR="002771C6">
        <w:t xml:space="preserve">no </w:t>
      </w:r>
      <w:r w:rsidRPr="00E126D7">
        <w:t>un percorso di presa in carico</w:t>
      </w:r>
      <w:r w:rsidR="002771C6">
        <w:t>.</w:t>
      </w:r>
    </w:p>
    <w:p w14:paraId="645ED257" w14:textId="77777777" w:rsidR="00435E88" w:rsidRPr="00E126D7" w:rsidRDefault="007869E3" w:rsidP="001A3D3B">
      <w:pPr>
        <w:jc w:val="both"/>
      </w:pPr>
      <w:r w:rsidRPr="00E126D7">
        <w:t xml:space="preserve"> Si declinano di seguito i percorsi di tutela ossia modalità alternative di accesso alle prestazioni nel caso in cui al </w:t>
      </w:r>
      <w:r w:rsidR="002771C6">
        <w:t>paziente</w:t>
      </w:r>
      <w:r w:rsidRPr="00E126D7">
        <w:t xml:space="preserve"> non possa essere assicurata la prestazione al momento di contatto con il CUP.</w:t>
      </w:r>
    </w:p>
    <w:p w14:paraId="24B83D42" w14:textId="77777777" w:rsidR="00435E88" w:rsidRPr="00E126D7" w:rsidRDefault="007869E3" w:rsidP="001A3D3B">
      <w:pPr>
        <w:jc w:val="both"/>
      </w:pPr>
      <w:r w:rsidRPr="00E126D7">
        <w:t xml:space="preserve">Ai sensi dell’articolo 3, commi 10 e 10 bis, del decreto-legge n. 73/2024, i percorsi di tutela da adottare in caso di superamento dei tempi massimi stabiliti, nei limiti delle risorse di cui all'articolo 1, commi 232 e 233, della legge n. 213/2024, e sulla base delle tariffe nazionali vigenti comprendono: </w:t>
      </w:r>
    </w:p>
    <w:p w14:paraId="4B12C4CC" w14:textId="3E95F88D" w:rsidR="00435E88" w:rsidRPr="00962E76" w:rsidRDefault="007869E3" w:rsidP="00F15158">
      <w:pPr>
        <w:ind w:left="142"/>
        <w:jc w:val="both"/>
      </w:pPr>
      <w:r w:rsidRPr="00E126D7">
        <w:t>a</w:t>
      </w:r>
      <w:r w:rsidRPr="00962E76">
        <w:t>) ridefinizione qualitativa e quantitativa dei volumi di attività e della tip</w:t>
      </w:r>
      <w:r w:rsidR="00F15158" w:rsidRPr="00962E76">
        <w:t xml:space="preserve">ologia delle prestazioni delle </w:t>
      </w:r>
      <w:r w:rsidRPr="00962E76">
        <w:t>strutture pubbliche e private accreditate, nei limiti delle risorse di cui all'articolo 1, commi 232 e 233, della legge 30 dicembre 2023 n. 213 e dei vincoli nazionali in materia di tetto di spesa verso erogatori privati accreditati;</w:t>
      </w:r>
    </w:p>
    <w:p w14:paraId="2A14AC50" w14:textId="77777777" w:rsidR="00435E88" w:rsidRPr="00E126D7" w:rsidRDefault="007869E3" w:rsidP="001A3D3B">
      <w:pPr>
        <w:jc w:val="both"/>
      </w:pPr>
      <w:r w:rsidRPr="00E126D7">
        <w:t xml:space="preserve"> b) riprogrammazione delle ore di medicina specialistica ambulatoriale interna;</w:t>
      </w:r>
    </w:p>
    <w:p w14:paraId="7623499C" w14:textId="77777777" w:rsidR="00435E88" w:rsidRPr="00E126D7" w:rsidRDefault="007869E3" w:rsidP="001A3D3B">
      <w:pPr>
        <w:jc w:val="both"/>
      </w:pPr>
      <w:r w:rsidRPr="00E126D7">
        <w:t xml:space="preserve"> c) richiesta di prestazioni, in via eccezionale e temporanea, ad integrazione dell’attività istituzionale, da parte delle </w:t>
      </w:r>
      <w:r w:rsidR="002771C6">
        <w:t>A</w:t>
      </w:r>
      <w:r w:rsidRPr="00E126D7">
        <w:t xml:space="preserve">ziende ai propri dirigenti allo scopo di ridurre le liste di attesa o di acquisire prestazioni aggiuntive, soprattutto in presenza di carenza di organico e impossibilità anche momentanea di coprire i relativi posti con personale in possesso dei requisiti di legge, in accordo con le équipe interessate; </w:t>
      </w:r>
    </w:p>
    <w:p w14:paraId="42CBC9A0" w14:textId="77777777" w:rsidR="00435E88" w:rsidRPr="00E126D7" w:rsidRDefault="007869E3" w:rsidP="001A3D3B">
      <w:pPr>
        <w:jc w:val="both"/>
      </w:pPr>
      <w:r w:rsidRPr="00E126D7">
        <w:t>d) incremento delle ore a specialisti ambulatoriali interni già in servizio o attivazione di nuove ore di specialistica ambulatoriale interna con stipulazione di rapporti convenzionali finalizzati alla riduzione dei tempi di attesa, nei limiti delle risorse di cui all'articolo 1, commi 232 e 233, della legge 30 dicembre 2023 n. 213.</w:t>
      </w:r>
    </w:p>
    <w:p w14:paraId="1F02E4F4" w14:textId="77777777" w:rsidR="00435E88" w:rsidRPr="00E126D7" w:rsidRDefault="007869E3" w:rsidP="001A3D3B">
      <w:pPr>
        <w:jc w:val="both"/>
      </w:pPr>
      <w:r w:rsidRPr="00E126D7">
        <w:t>Tra gli strumenti di supporto all’</w:t>
      </w:r>
      <w:proofErr w:type="spellStart"/>
      <w:r w:rsidRPr="00E126D7">
        <w:t>efficientamento</w:t>
      </w:r>
      <w:proofErr w:type="spellEnd"/>
      <w:r w:rsidRPr="00E126D7">
        <w:t xml:space="preserve"> delle agende possono essere annoverati l’</w:t>
      </w:r>
      <w:r w:rsidRPr="00DE27D5">
        <w:rPr>
          <w:i/>
        </w:rPr>
        <w:t xml:space="preserve">overbooking </w:t>
      </w:r>
      <w:r w:rsidRPr="00E126D7">
        <w:t xml:space="preserve">o il riutilizzo degli </w:t>
      </w:r>
      <w:r w:rsidRPr="00DE27D5">
        <w:rPr>
          <w:i/>
        </w:rPr>
        <w:t>slot</w:t>
      </w:r>
      <w:r w:rsidRPr="00E126D7">
        <w:t xml:space="preserve"> non occupati. </w:t>
      </w:r>
    </w:p>
    <w:p w14:paraId="4D1638B6" w14:textId="77777777" w:rsidR="00435E88" w:rsidRPr="00DE27D5" w:rsidRDefault="007869E3" w:rsidP="001A3D3B">
      <w:pPr>
        <w:jc w:val="both"/>
      </w:pPr>
      <w:r w:rsidRPr="00DE27D5">
        <w:t>I</w:t>
      </w:r>
      <w:r w:rsidR="00DE27D5" w:rsidRPr="00DE27D5">
        <w:t xml:space="preserve"> </w:t>
      </w:r>
      <w:r w:rsidRPr="00DE27D5">
        <w:t>percorsi di tutela rappresentano quindi una modalità per accedere ad una quota di offerta di prestazioni straordinaria che viene attivata solo a fronte di criticità.</w:t>
      </w:r>
    </w:p>
    <w:p w14:paraId="2B54117D" w14:textId="77777777" w:rsidR="003A486C" w:rsidRDefault="007869E3" w:rsidP="001A3D3B">
      <w:pPr>
        <w:jc w:val="both"/>
      </w:pPr>
      <w:r w:rsidRPr="00DE27D5">
        <w:t xml:space="preserve"> In ultima istanza, le direzioni generali aziendali hanno la possibilità di acquistare delle prestazioni dal professionista</w:t>
      </w:r>
      <w:r w:rsidR="002771C6">
        <w:t>,</w:t>
      </w:r>
      <w:r w:rsidRPr="00DE27D5">
        <w:t xml:space="preserve"> erogate in regime libero professionale. In tale caso il servizio sanitario nazionale può sostenere esclusivamente il costo corrispondente al costo della tariffa nazionale vigente per la prestazione interessata. Inoltre, è possibile annoverare il ricorso ad accordi con le Aziende Ospedaliere e i privati accreditati che insistono nell’ambito di garanzia.</w:t>
      </w:r>
    </w:p>
    <w:p w14:paraId="77ADB81C" w14:textId="63CE3CBC" w:rsidR="003A486C" w:rsidRPr="00962E76" w:rsidRDefault="003A486C" w:rsidP="001A3D3B">
      <w:pPr>
        <w:jc w:val="both"/>
      </w:pPr>
      <w:r w:rsidRPr="00962E76">
        <w:t>Se i tempi previsti dalle classi di priorità individuate nel PNGLA 2019-2021 non possano essere rispettati, le direzioni generali aziendali garantisc</w:t>
      </w:r>
      <w:r w:rsidR="008B7B21" w:rsidRPr="00962E76">
        <w:t>o</w:t>
      </w:r>
      <w:r w:rsidRPr="00962E76">
        <w:t xml:space="preserve">no l’erogazione delle prestazioni richieste </w:t>
      </w:r>
      <w:r w:rsidR="008B7B21" w:rsidRPr="00962E76">
        <w:t xml:space="preserve">anche </w:t>
      </w:r>
      <w:r w:rsidRPr="00962E76">
        <w:t xml:space="preserve">attraverso l’utilizzo dell’attività libero-professionale intramuraria o del sistema privato accreditato I </w:t>
      </w:r>
      <w:r w:rsidR="007837A7" w:rsidRPr="00962E76">
        <w:t>D</w:t>
      </w:r>
      <w:r w:rsidRPr="00962E76">
        <w:t>irettori generali delle aziende sanitarie dovranno vigilare sul rispetto della disposizione, soprattutto ai fini dell’azione disciplinare e di responsabilità erariale nei confronti dei soggetti a cui sia imputabile la mancata erogazione della prestazione nei confronti dell’assistito.</w:t>
      </w:r>
    </w:p>
    <w:p w14:paraId="688A7050" w14:textId="76E11A80" w:rsidR="007869E3" w:rsidRPr="00DE27D5" w:rsidRDefault="007869E3" w:rsidP="001A3D3B">
      <w:pPr>
        <w:jc w:val="both"/>
      </w:pPr>
      <w:r w:rsidRPr="00DE27D5">
        <w:lastRenderedPageBreak/>
        <w:t xml:space="preserve"> In tutti i casi, è da escludersi tassativamente il rimborso a posteriori (ossia a prestazione già eseguita), di somme relative all’erogazione di prestazioni in Libera Professione o presso strutture private</w:t>
      </w:r>
      <w:r w:rsidR="00DA336B">
        <w:t>, in assenza di autorizzazione</w:t>
      </w:r>
      <w:r w:rsidR="00F37660">
        <w:t xml:space="preserve"> preventiva</w:t>
      </w:r>
      <w:r w:rsidR="008B7B21">
        <w:t>.</w:t>
      </w:r>
    </w:p>
    <w:p w14:paraId="220390DE" w14:textId="7A50D0B2" w:rsidR="00A9698C" w:rsidRPr="00962E76" w:rsidRDefault="00F61C51" w:rsidP="00A57AC9">
      <w:pPr>
        <w:pStyle w:val="Paragrafoelenco"/>
        <w:numPr>
          <w:ilvl w:val="0"/>
          <w:numId w:val="19"/>
        </w:numPr>
        <w:jc w:val="both"/>
        <w:rPr>
          <w:b/>
        </w:rPr>
      </w:pPr>
      <w:r w:rsidRPr="00962E76">
        <w:rPr>
          <w:b/>
        </w:rPr>
        <w:t>L</w:t>
      </w:r>
      <w:r w:rsidR="006D350D" w:rsidRPr="00962E76">
        <w:rPr>
          <w:b/>
        </w:rPr>
        <w:t xml:space="preserve">e </w:t>
      </w:r>
      <w:proofErr w:type="spellStart"/>
      <w:r w:rsidR="006D350D" w:rsidRPr="00962E76">
        <w:rPr>
          <w:b/>
        </w:rPr>
        <w:t>televisite</w:t>
      </w:r>
      <w:proofErr w:type="spellEnd"/>
    </w:p>
    <w:p w14:paraId="2B670374" w14:textId="77777777" w:rsidR="00CC0B8F" w:rsidRPr="00962E76" w:rsidRDefault="00CC0B8F" w:rsidP="00CC0B8F">
      <w:pPr>
        <w:jc w:val="both"/>
      </w:pPr>
      <w:r w:rsidRPr="00962E76">
        <w:t xml:space="preserve">Nel percorso di presa in carico dei bisogni di salute del paziente, le Aziende favoriscono l’erogazione delle prestazioni specialistiche in modalità di telemedicina (prevalentemente </w:t>
      </w:r>
      <w:proofErr w:type="spellStart"/>
      <w:r w:rsidRPr="00962E76">
        <w:t>televisita</w:t>
      </w:r>
      <w:proofErr w:type="spellEnd"/>
      <w:r w:rsidRPr="00962E76">
        <w:t xml:space="preserve">), attraverso la creazione di agende dedicate o </w:t>
      </w:r>
      <w:r w:rsidRPr="00962E76">
        <w:rPr>
          <w:i/>
        </w:rPr>
        <w:t>slot</w:t>
      </w:r>
      <w:r w:rsidRPr="00962E76">
        <w:t xml:space="preserve"> che le includano, anche per le valutazioni specialistiche preliminari, le rivalutazioni e </w:t>
      </w:r>
      <w:r w:rsidRPr="00962E76">
        <w:rPr>
          <w:i/>
        </w:rPr>
        <w:t xml:space="preserve">i </w:t>
      </w:r>
      <w:proofErr w:type="spellStart"/>
      <w:r w:rsidRPr="00962E76">
        <w:rPr>
          <w:i/>
        </w:rPr>
        <w:t>follow</w:t>
      </w:r>
      <w:proofErr w:type="spellEnd"/>
      <w:r w:rsidRPr="00962E76">
        <w:rPr>
          <w:i/>
        </w:rPr>
        <w:t xml:space="preserve"> up</w:t>
      </w:r>
      <w:r w:rsidRPr="00962E76">
        <w:t xml:space="preserve"> periodici.</w:t>
      </w:r>
    </w:p>
    <w:p w14:paraId="630B2819" w14:textId="77777777" w:rsidR="00CC0B8F" w:rsidRPr="00962E76" w:rsidRDefault="00A22EAA" w:rsidP="00CC0B8F">
      <w:pPr>
        <w:jc w:val="both"/>
      </w:pPr>
      <w:r w:rsidRPr="00962E76">
        <w:t xml:space="preserve">Le </w:t>
      </w:r>
      <w:proofErr w:type="spellStart"/>
      <w:r w:rsidRPr="00962E76">
        <w:t>Televisite</w:t>
      </w:r>
      <w:proofErr w:type="spellEnd"/>
      <w:r w:rsidRPr="00962E76">
        <w:t xml:space="preserve"> possono rappresentare una modalità alternativa alle visite di controllo in presenza e pertanto devono seguire le stesse regole applicate alle visite di controllo, compreso il monitoraggio dei volumi al fine del governo delle liste di attesa. </w:t>
      </w:r>
    </w:p>
    <w:p w14:paraId="615AA58A" w14:textId="1257C91A" w:rsidR="0069305B" w:rsidRPr="00962E76" w:rsidRDefault="0069305B" w:rsidP="00A57AC9">
      <w:pPr>
        <w:pStyle w:val="Paragrafoelenco"/>
        <w:numPr>
          <w:ilvl w:val="0"/>
          <w:numId w:val="19"/>
        </w:numPr>
        <w:jc w:val="both"/>
        <w:rPr>
          <w:b/>
        </w:rPr>
      </w:pPr>
      <w:r w:rsidRPr="00962E76">
        <w:rPr>
          <w:b/>
        </w:rPr>
        <w:t>Trasmissione</w:t>
      </w:r>
      <w:r w:rsidRPr="00962E76">
        <w:rPr>
          <w:b/>
        </w:rPr>
        <w:tab/>
        <w:t>sistematica</w:t>
      </w:r>
      <w:r w:rsidRPr="00962E76">
        <w:rPr>
          <w:b/>
        </w:rPr>
        <w:tab/>
        <w:t>dei</w:t>
      </w:r>
      <w:r w:rsidRPr="00962E76">
        <w:rPr>
          <w:b/>
        </w:rPr>
        <w:tab/>
        <w:t>flussi</w:t>
      </w:r>
      <w:r w:rsidRPr="00962E76">
        <w:rPr>
          <w:b/>
        </w:rPr>
        <w:tab/>
        <w:t>informativi</w:t>
      </w:r>
      <w:r w:rsidRPr="00962E76">
        <w:rPr>
          <w:b/>
        </w:rPr>
        <w:tab/>
        <w:t>di</w:t>
      </w:r>
      <w:r w:rsidR="00DA1F6C" w:rsidRPr="00962E76">
        <w:rPr>
          <w:b/>
        </w:rPr>
        <w:t xml:space="preserve"> </w:t>
      </w:r>
      <w:r w:rsidRPr="00962E76">
        <w:rPr>
          <w:b/>
        </w:rPr>
        <w:t>monitoraggio delle liste e dei tempi d’attesa</w:t>
      </w:r>
    </w:p>
    <w:p w14:paraId="6D8D9957" w14:textId="45DB56EC" w:rsidR="00C87CC2" w:rsidRDefault="00C87CC2" w:rsidP="001A3D3B">
      <w:pPr>
        <w:jc w:val="both"/>
      </w:pPr>
      <w:r>
        <w:t>Il Decreto-legge n. 73/2024 prevede, all’articolo 1 comma 1, l’istituzione presso l’Agenzia Nazionale per i Servizi Sanitari Regionali (AGENAS) della Piattaforma nazionale delle liste di attesa (PN</w:t>
      </w:r>
      <w:r w:rsidR="00F37660">
        <w:t>G</w:t>
      </w:r>
      <w:r>
        <w:t>LA), di cui si avvale il Ministero della Salute.</w:t>
      </w:r>
    </w:p>
    <w:p w14:paraId="6C408242" w14:textId="77777777" w:rsidR="00C87CC2" w:rsidRDefault="00C87CC2" w:rsidP="001A3D3B">
      <w:pPr>
        <w:jc w:val="both"/>
      </w:pPr>
      <w:r>
        <w:t xml:space="preserve"> La piattaforma nazionale è finalizzata a realizzare l’interoperabilità con le piattaforme delle liste di attesa relative a ciascuna </w:t>
      </w:r>
      <w:r w:rsidR="005F3EBC">
        <w:t>Regione</w:t>
      </w:r>
      <w:r>
        <w:t xml:space="preserve">/PA. </w:t>
      </w:r>
    </w:p>
    <w:p w14:paraId="01D20E4C" w14:textId="1A49FFDF" w:rsidR="00C87CC2" w:rsidRDefault="00C87CC2" w:rsidP="001A3D3B">
      <w:pPr>
        <w:jc w:val="both"/>
        <w:rPr>
          <w:color w:val="0070C0"/>
        </w:rPr>
      </w:pPr>
      <w:r>
        <w:t xml:space="preserve">Si tratta di uno strumento di governo delle liste di attesa coerente con l’obiettivo “Potenziamento del Portale della Trasparenza” previsto dal </w:t>
      </w:r>
      <w:r w:rsidR="00FB122B">
        <w:t>Piano</w:t>
      </w:r>
      <w:r>
        <w:t xml:space="preserve"> nazionale di ripresa e resilienza. L’architettura si bas</w:t>
      </w:r>
      <w:r w:rsidR="00B223BA">
        <w:t>erà</w:t>
      </w:r>
      <w:r>
        <w:t xml:space="preserve"> sull’introduzione della </w:t>
      </w:r>
      <w:r w:rsidR="00F37660">
        <w:t>PNGLA</w:t>
      </w:r>
      <w:r>
        <w:t xml:space="preserve"> e di 21 piattaforme regionali delle liste di attesa (PRLA) che </w:t>
      </w:r>
      <w:proofErr w:type="spellStart"/>
      <w:r>
        <w:t>interopereranno</w:t>
      </w:r>
      <w:proofErr w:type="spellEnd"/>
      <w:r>
        <w:t xml:space="preserve"> con la </w:t>
      </w:r>
      <w:r w:rsidR="00F37660">
        <w:t>PNGLA</w:t>
      </w:r>
      <w:r>
        <w:t xml:space="preserve">. Lo scopo della </w:t>
      </w:r>
      <w:r w:rsidR="00F37660">
        <w:t>PNGLA</w:t>
      </w:r>
      <w:r>
        <w:t xml:space="preserve"> sarà quello di interconnettere tutte le PRLA di cui sopra e produrre uno strumento nazionale (Cruscotto), per la </w:t>
      </w:r>
      <w:proofErr w:type="spellStart"/>
      <w:r w:rsidRPr="00F15158">
        <w:rPr>
          <w:i/>
        </w:rPr>
        <w:t>Governance</w:t>
      </w:r>
      <w:proofErr w:type="spellEnd"/>
      <w:r>
        <w:t xml:space="preserve"> delle liste di attesa tramite dati tempestivi. L’interoperabilità Nazionale dei sistemi </w:t>
      </w:r>
      <w:r w:rsidR="00F37660">
        <w:t>PNG</w:t>
      </w:r>
      <w:r>
        <w:t>LA/CUP regionali potrà rappresentare il percorso verso l’ottimizzazione delle liste d’attesa ed inoltre costituirà una base informativa oggettiva e trasparente attraverso la quale i cittadini possano essere informati sulla reale disponibilità delle prestazioni e dei relativi tempi di attesa.</w:t>
      </w:r>
    </w:p>
    <w:p w14:paraId="727B37DF" w14:textId="77777777" w:rsidR="00B75B6A" w:rsidRDefault="00C87CC2" w:rsidP="001A3D3B">
      <w:pPr>
        <w:jc w:val="both"/>
      </w:pPr>
      <w:r>
        <w:t>Grazie alle informazioni raccolte dalla piattaforma, sarà possibile monitorare a livello nazionale:</w:t>
      </w:r>
    </w:p>
    <w:p w14:paraId="7C1B640A" w14:textId="77777777" w:rsidR="00B75B6A" w:rsidRDefault="00C87CC2" w:rsidP="001A3D3B">
      <w:pPr>
        <w:jc w:val="both"/>
      </w:pPr>
      <w:r>
        <w:t xml:space="preserve"> • La disponibilità delle agende (disponibilità delle agende prenotabili per prestazione sia per il sistema pubblico con ripartizione tra SSN e ALPI che per gli erogatori del privato accreditato); </w:t>
      </w:r>
    </w:p>
    <w:p w14:paraId="41D9D87B" w14:textId="77777777" w:rsidR="00B75B6A" w:rsidRDefault="00C87CC2" w:rsidP="001A3D3B">
      <w:pPr>
        <w:jc w:val="both"/>
      </w:pPr>
      <w:r>
        <w:t xml:space="preserve">• Set di indicatori relativi ai tempi di attesa in relazione alle classi di priorità (condivisi con il Ministero della Salute, l’Istituto Superiore di Sanità e le Regioni); </w:t>
      </w:r>
    </w:p>
    <w:p w14:paraId="5D52C278" w14:textId="77777777" w:rsidR="00B75B6A" w:rsidRDefault="00C87CC2" w:rsidP="001A3D3B">
      <w:pPr>
        <w:jc w:val="both"/>
      </w:pPr>
      <w:r>
        <w:t>• Verifica dei percorsi di tutela previsti nel PNGLA disponibili;</w:t>
      </w:r>
    </w:p>
    <w:p w14:paraId="4AFB62FD" w14:textId="77777777" w:rsidR="00B75B6A" w:rsidRDefault="00C87CC2" w:rsidP="001A3D3B">
      <w:pPr>
        <w:jc w:val="both"/>
      </w:pPr>
      <w:r>
        <w:t xml:space="preserve"> • Impatto del DM n.77/2022 (e.g. volumi di pazienti presi in carico dalle nuove strutture di assistenza territoriale - Case di Comunità, Ospedali di Comunità): </w:t>
      </w:r>
    </w:p>
    <w:p w14:paraId="2911653E" w14:textId="77777777" w:rsidR="00B223BA" w:rsidRDefault="00C87CC2" w:rsidP="00B223BA">
      <w:pPr>
        <w:jc w:val="both"/>
      </w:pPr>
      <w:r>
        <w:t xml:space="preserve">• Verifica dell’applicazione delle linee guida e delle buone pratiche clinico-assistenziali, della appropriatezza prescrittiva e del rispetto criteri RAO (Raggruppamenti Omogenei di Attesa). </w:t>
      </w:r>
    </w:p>
    <w:p w14:paraId="1B65D37E" w14:textId="77777777" w:rsidR="0069305B" w:rsidRPr="00B75B6A" w:rsidRDefault="0069305B" w:rsidP="00B223BA">
      <w:pPr>
        <w:pStyle w:val="Paragrafoelenco"/>
        <w:numPr>
          <w:ilvl w:val="0"/>
          <w:numId w:val="19"/>
        </w:numPr>
        <w:jc w:val="both"/>
      </w:pPr>
      <w:r w:rsidRPr="00B75B6A">
        <w:rPr>
          <w:b/>
        </w:rPr>
        <w:t>Informazione e comunicazione sulle liste di attesa: trasparenza</w:t>
      </w:r>
      <w:r w:rsidR="000E4C60" w:rsidRPr="00B75B6A">
        <w:rPr>
          <w:b/>
        </w:rPr>
        <w:t xml:space="preserve"> </w:t>
      </w:r>
    </w:p>
    <w:p w14:paraId="2C6F45B1" w14:textId="77777777" w:rsidR="0069305B" w:rsidRPr="00B17160" w:rsidRDefault="0069305B" w:rsidP="001A3D3B">
      <w:pPr>
        <w:jc w:val="both"/>
      </w:pPr>
      <w:r w:rsidRPr="00B17160">
        <w:t>Ogni Azienda sanitaria</w:t>
      </w:r>
      <w:r w:rsidR="00CE4FB5" w:rsidRPr="00B17160">
        <w:t xml:space="preserve"> regionale </w:t>
      </w:r>
      <w:r w:rsidRPr="00B17160">
        <w:t xml:space="preserve">dovrà prevedere sul proprio sito istituzionale una sezione dedicata alle liste e alla gestione dei tempi di attesa. Tale sezione dovrà essere direttamente </w:t>
      </w:r>
      <w:r w:rsidRPr="00B17160">
        <w:lastRenderedPageBreak/>
        <w:t xml:space="preserve">navigabile dal Portale Sanità della </w:t>
      </w:r>
      <w:r w:rsidR="005F3EBC">
        <w:t>Regione</w:t>
      </w:r>
      <w:r w:rsidRPr="00B17160">
        <w:t xml:space="preserve"> </w:t>
      </w:r>
      <w:r w:rsidR="005E1CD8" w:rsidRPr="00B17160">
        <w:t>Basilicata</w:t>
      </w:r>
      <w:r w:rsidRPr="00B17160">
        <w:t xml:space="preserve"> e dovrà essere indicizzata nei principali motori di ricerca.</w:t>
      </w:r>
    </w:p>
    <w:p w14:paraId="43D164A0" w14:textId="77777777" w:rsidR="0069305B" w:rsidRPr="00B17160" w:rsidRDefault="0069305B" w:rsidP="001A3D3B">
      <w:pPr>
        <w:jc w:val="both"/>
      </w:pPr>
      <w:r w:rsidRPr="00B17160">
        <w:t>Per finalità di trasparenza, nel sito WEB Aziendale dovranno essere presenti:</w:t>
      </w:r>
    </w:p>
    <w:p w14:paraId="530E3959" w14:textId="77777777" w:rsidR="00F15158" w:rsidRDefault="006C08B4" w:rsidP="00F15158">
      <w:pPr>
        <w:pStyle w:val="Paragrafoelenco"/>
        <w:numPr>
          <w:ilvl w:val="0"/>
          <w:numId w:val="31"/>
        </w:numPr>
        <w:ind w:left="426"/>
        <w:jc w:val="both"/>
      </w:pPr>
      <w:r>
        <w:t xml:space="preserve">Il </w:t>
      </w:r>
      <w:r w:rsidR="00FB122B">
        <w:t>Piano</w:t>
      </w:r>
      <w:r w:rsidR="0069305B" w:rsidRPr="004C106D">
        <w:t xml:space="preserve"> </w:t>
      </w:r>
      <w:r w:rsidR="00B20C87">
        <w:t>Attuativo aziendale</w:t>
      </w:r>
      <w:r w:rsidR="0069305B" w:rsidRPr="004C106D">
        <w:t xml:space="preserve"> (PAA) per il governo delle liste di attesa, con relativa delibera di attuazione. I documenti vanno pubblicati in formato pdf accessibile, scaricabile dall’utente, e devono essere facilmente raggiungibili attraverso un link disponibile nella prima pagina della sezione Liste di attesa;</w:t>
      </w:r>
    </w:p>
    <w:p w14:paraId="63BAE266" w14:textId="77777777" w:rsidR="00F15158" w:rsidRDefault="006C08B4" w:rsidP="00F15158">
      <w:pPr>
        <w:pStyle w:val="Paragrafoelenco"/>
        <w:numPr>
          <w:ilvl w:val="0"/>
          <w:numId w:val="31"/>
        </w:numPr>
        <w:ind w:left="426"/>
        <w:jc w:val="both"/>
      </w:pPr>
      <w:r>
        <w:t>L</w:t>
      </w:r>
      <w:r w:rsidR="0069305B" w:rsidRPr="004C106D">
        <w:t>’elenco delle prestazioni ambulatoriali e relativi tempi massimi di erogazione previsti per norma;</w:t>
      </w:r>
      <w:r w:rsidR="00F15158">
        <w:t xml:space="preserve"> </w:t>
      </w:r>
    </w:p>
    <w:p w14:paraId="138C3F72" w14:textId="77777777" w:rsidR="004C106D" w:rsidRPr="004C106D" w:rsidRDefault="006C08B4" w:rsidP="00F15158">
      <w:pPr>
        <w:pStyle w:val="Paragrafoelenco"/>
        <w:numPr>
          <w:ilvl w:val="0"/>
          <w:numId w:val="31"/>
        </w:numPr>
        <w:ind w:left="426"/>
        <w:jc w:val="both"/>
      </w:pPr>
      <w:r>
        <w:t>L</w:t>
      </w:r>
      <w:r w:rsidR="0069305B" w:rsidRPr="004C106D">
        <w:t xml:space="preserve">’elenco dei punti di erogazione pubblici, privati accreditati e </w:t>
      </w:r>
      <w:r w:rsidR="009D66BA">
        <w:t>contrattualizzati</w:t>
      </w:r>
      <w:r w:rsidR="0069305B" w:rsidRPr="004C106D">
        <w:t xml:space="preserve"> e relative modalità di accesso alle prestazioni;</w:t>
      </w:r>
    </w:p>
    <w:p w14:paraId="066AAA78" w14:textId="77777777" w:rsidR="004C106D" w:rsidRPr="004C106D" w:rsidRDefault="006C08B4" w:rsidP="001A3D3B">
      <w:pPr>
        <w:pStyle w:val="Paragrafoelenco"/>
        <w:numPr>
          <w:ilvl w:val="0"/>
          <w:numId w:val="31"/>
        </w:numPr>
        <w:ind w:left="426"/>
        <w:jc w:val="both"/>
      </w:pPr>
      <w:r>
        <w:t>I</w:t>
      </w:r>
      <w:r w:rsidR="0069305B" w:rsidRPr="004C106D">
        <w:t xml:space="preserve"> percorsi previsti a garanzia dei tempi d’attesa;</w:t>
      </w:r>
    </w:p>
    <w:p w14:paraId="451A7DF5" w14:textId="77777777" w:rsidR="004C106D" w:rsidRPr="004C106D" w:rsidRDefault="006C08B4" w:rsidP="001A3D3B">
      <w:pPr>
        <w:pStyle w:val="Paragrafoelenco"/>
        <w:numPr>
          <w:ilvl w:val="0"/>
          <w:numId w:val="31"/>
        </w:numPr>
        <w:ind w:left="426"/>
        <w:jc w:val="both"/>
      </w:pPr>
      <w:r>
        <w:t>I</w:t>
      </w:r>
      <w:r w:rsidR="009D66BA">
        <w:t xml:space="preserve"> </w:t>
      </w:r>
      <w:r w:rsidR="0069305B" w:rsidRPr="004C106D">
        <w:t>dati riferiti al monitoraggio dei tempi di attesa per le prestazioni di assistenza specialistica ambulatoriale previste dal PNGLA. La pubblicazione è relativa alle classi di priorità B, D e P</w:t>
      </w:r>
      <w:r w:rsidR="004C106D" w:rsidRPr="004C106D">
        <w:t>;</w:t>
      </w:r>
      <w:r w:rsidR="0069305B" w:rsidRPr="004C106D">
        <w:t xml:space="preserve"> </w:t>
      </w:r>
    </w:p>
    <w:p w14:paraId="245EFAF8" w14:textId="77777777" w:rsidR="004C106D" w:rsidRPr="004C106D" w:rsidRDefault="006C08B4" w:rsidP="001A3D3B">
      <w:pPr>
        <w:pStyle w:val="Paragrafoelenco"/>
        <w:numPr>
          <w:ilvl w:val="0"/>
          <w:numId w:val="31"/>
        </w:numPr>
        <w:ind w:left="426"/>
        <w:jc w:val="both"/>
      </w:pPr>
      <w:r>
        <w:t xml:space="preserve">Gli </w:t>
      </w:r>
      <w:r w:rsidR="0069305B" w:rsidRPr="004C106D">
        <w:t>ambiti di garanzia individuati;</w:t>
      </w:r>
    </w:p>
    <w:p w14:paraId="6ACEC333" w14:textId="77777777" w:rsidR="004C106D" w:rsidRPr="004C106D" w:rsidRDefault="006C08B4" w:rsidP="001A3D3B">
      <w:pPr>
        <w:pStyle w:val="Paragrafoelenco"/>
        <w:numPr>
          <w:ilvl w:val="0"/>
          <w:numId w:val="31"/>
        </w:numPr>
        <w:ind w:left="426"/>
        <w:jc w:val="both"/>
      </w:pPr>
      <w:r>
        <w:t xml:space="preserve">I </w:t>
      </w:r>
      <w:r w:rsidR="004C106D" w:rsidRPr="004C106D">
        <w:t>percorsi di tutela disponibili;</w:t>
      </w:r>
    </w:p>
    <w:p w14:paraId="192363D5" w14:textId="77777777" w:rsidR="0069305B" w:rsidRPr="00962E76" w:rsidRDefault="006C08B4" w:rsidP="001A3D3B">
      <w:pPr>
        <w:pStyle w:val="Paragrafoelenco"/>
        <w:numPr>
          <w:ilvl w:val="0"/>
          <w:numId w:val="31"/>
        </w:numPr>
        <w:ind w:left="426"/>
        <w:jc w:val="both"/>
      </w:pPr>
      <w:r>
        <w:t xml:space="preserve">La </w:t>
      </w:r>
      <w:r w:rsidR="0069305B" w:rsidRPr="004C106D">
        <w:t>guida alla lettura dei dati contenente le informazioni di interesse per il cittadino (responsabilità degli utenti; procedure per suggerimenti, reclami, disdette, sanzioni e altre informazioni utili)</w:t>
      </w:r>
      <w:r w:rsidR="00FC4027">
        <w:t>;</w:t>
      </w:r>
    </w:p>
    <w:p w14:paraId="7DB98FDB" w14:textId="441F32FE" w:rsidR="00FC4027" w:rsidRPr="00962E76" w:rsidRDefault="00FC4027" w:rsidP="00FC4027">
      <w:pPr>
        <w:pStyle w:val="Paragrafoelenco"/>
        <w:numPr>
          <w:ilvl w:val="0"/>
          <w:numId w:val="31"/>
        </w:numPr>
        <w:ind w:left="426"/>
        <w:jc w:val="both"/>
      </w:pPr>
      <w:r w:rsidRPr="00962E76">
        <w:t xml:space="preserve">un collegamento al sistema CUP </w:t>
      </w:r>
      <w:r w:rsidR="00ED6919" w:rsidRPr="00962E76">
        <w:t>regionale</w:t>
      </w:r>
      <w:r w:rsidRPr="00962E76">
        <w:t xml:space="preserve"> per la prenotazione on line delle prestazioni;</w:t>
      </w:r>
    </w:p>
    <w:p w14:paraId="52D0CE93" w14:textId="77777777" w:rsidR="0069305B" w:rsidRPr="001C4243" w:rsidRDefault="0069305B" w:rsidP="001A3D3B">
      <w:pPr>
        <w:jc w:val="both"/>
      </w:pPr>
      <w:r w:rsidRPr="00962E76">
        <w:t xml:space="preserve">La </w:t>
      </w:r>
      <w:r w:rsidR="005F3EBC" w:rsidRPr="00962E76">
        <w:t>Regione</w:t>
      </w:r>
      <w:r w:rsidRPr="00962E76">
        <w:t xml:space="preserve"> intende garantire la massima trasparenza assicurando </w:t>
      </w:r>
      <w:r w:rsidRPr="001C4243">
        <w:t>e promuovendo l’informazione e la corretta comunicazione sulle liste di attesa, sulle modalità di accesso alla prenotazione delle prestazioni, sui bacini di garanzia, sui percorsi di tutela in caso di sforamento dei tempi massimi, sugli impegni del SSR e sui diritti e doveri dei cittadini.</w:t>
      </w:r>
    </w:p>
    <w:p w14:paraId="2F91CDB9" w14:textId="77777777" w:rsidR="0069305B" w:rsidRPr="001C4243" w:rsidRDefault="0069305B" w:rsidP="001A3D3B">
      <w:pPr>
        <w:jc w:val="both"/>
      </w:pPr>
      <w:r w:rsidRPr="001C4243">
        <w:rPr>
          <w:rFonts w:hint="eastAsia"/>
        </w:rPr>
        <w:t>È</w:t>
      </w:r>
      <w:r w:rsidRPr="001C4243">
        <w:t xml:space="preserve"> importante a questo fine, che ciascuna Azienda sviluppi corsi di formazione/informazione in tema di liste di attesa rivolti a tutti gli operatori coinvolti nelle diverse fasi del percorso ambulatoriale, compresa la prenotazione.</w:t>
      </w:r>
    </w:p>
    <w:p w14:paraId="078DF067" w14:textId="77777777" w:rsidR="0069305B" w:rsidRPr="00C21E77" w:rsidRDefault="0069305B" w:rsidP="001A3D3B">
      <w:pPr>
        <w:jc w:val="both"/>
      </w:pPr>
      <w:r w:rsidRPr="00C21E77">
        <w:t xml:space="preserve">A tutela dell’equità e della trasparenza, la </w:t>
      </w:r>
      <w:r w:rsidR="005F3EBC">
        <w:t>Regione</w:t>
      </w:r>
      <w:r w:rsidRPr="00C21E77">
        <w:t xml:space="preserve"> aggiorna costantemente il portale regionale dei tempi di attesa rispetto alle modalità organizzative, alle eventuali novità normative, alle caratteristiche dei diversi regimi di erogazione, ai tempi standard per classi di priorità.</w:t>
      </w:r>
    </w:p>
    <w:p w14:paraId="6B4C49C0" w14:textId="77777777" w:rsidR="008D1C26" w:rsidRPr="00C21E77" w:rsidRDefault="0069305B" w:rsidP="001A3D3B">
      <w:pPr>
        <w:jc w:val="both"/>
      </w:pPr>
      <w:r w:rsidRPr="00C21E77">
        <w:t>Infine, anche le eventuali sospensioni dell’erogazione delle prestazioni legate a motivi tecnici e gli interventi conseguenti per fronteggiare i disagi, devono essere oggetto di informazione al cittadino per il tramite dei canali di comunicazione attivi.</w:t>
      </w:r>
    </w:p>
    <w:p w14:paraId="68B63CA4" w14:textId="77777777" w:rsidR="0069305B" w:rsidRPr="00190E39" w:rsidRDefault="0069305B" w:rsidP="00A57AC9">
      <w:pPr>
        <w:pStyle w:val="Paragrafoelenco"/>
        <w:numPr>
          <w:ilvl w:val="0"/>
          <w:numId w:val="19"/>
        </w:numPr>
        <w:jc w:val="both"/>
      </w:pPr>
      <w:r w:rsidRPr="00190E39">
        <w:rPr>
          <w:b/>
        </w:rPr>
        <w:t>Diritti e doveri del cittadino</w:t>
      </w:r>
    </w:p>
    <w:p w14:paraId="32413D04" w14:textId="77777777" w:rsidR="008D1C26" w:rsidRPr="00190E39" w:rsidRDefault="0069305B" w:rsidP="001A3D3B">
      <w:pPr>
        <w:jc w:val="both"/>
      </w:pPr>
      <w:r w:rsidRPr="00190E39">
        <w:t>Le Aziende Sanitarie sono tenute ad informare i propri assistiti e il proprio personale, sanitario e non, dei dir</w:t>
      </w:r>
      <w:r w:rsidR="008D1C26" w:rsidRPr="00190E39">
        <w:t>itti e dei doveri del cittadino</w:t>
      </w:r>
      <w:r w:rsidR="001C363C">
        <w:t>.</w:t>
      </w:r>
    </w:p>
    <w:p w14:paraId="0BCE8957" w14:textId="6EFDE18C" w:rsidR="0069305B" w:rsidRPr="00F37660" w:rsidRDefault="0069305B" w:rsidP="00F37660">
      <w:pPr>
        <w:ind w:left="360"/>
        <w:jc w:val="both"/>
        <w:rPr>
          <w:b/>
        </w:rPr>
      </w:pPr>
      <w:r w:rsidRPr="00F37660">
        <w:rPr>
          <w:b/>
        </w:rPr>
        <w:t>Diritti</w:t>
      </w:r>
    </w:p>
    <w:p w14:paraId="0D777BA4" w14:textId="77777777" w:rsidR="00455D3A" w:rsidRPr="00455D3A" w:rsidRDefault="0069305B" w:rsidP="001A3D3B">
      <w:pPr>
        <w:pStyle w:val="Paragrafoelenco"/>
        <w:numPr>
          <w:ilvl w:val="0"/>
          <w:numId w:val="31"/>
        </w:numPr>
        <w:ind w:left="426"/>
        <w:jc w:val="both"/>
      </w:pPr>
      <w:r w:rsidRPr="00455D3A">
        <w:t>Il cittadino ha diritto di ottenere dalla struttura sanitaria informazioni relative alle prestazioni dalla stessa erogate, alle modalità di accesso</w:t>
      </w:r>
      <w:r w:rsidR="001C363C">
        <w:t>;</w:t>
      </w:r>
    </w:p>
    <w:p w14:paraId="3BCEFC6C" w14:textId="77777777" w:rsidR="00455D3A" w:rsidRPr="00455D3A" w:rsidRDefault="0069305B" w:rsidP="001A3D3B">
      <w:pPr>
        <w:pStyle w:val="Paragrafoelenco"/>
        <w:numPr>
          <w:ilvl w:val="0"/>
          <w:numId w:val="31"/>
        </w:numPr>
        <w:ind w:left="426"/>
        <w:jc w:val="both"/>
      </w:pPr>
      <w:r w:rsidRPr="00455D3A">
        <w:t>Il cittadino ha diritto di ottenere informazioni complete e comprensibili in merito al prop</w:t>
      </w:r>
      <w:r w:rsidR="00455D3A" w:rsidRPr="00455D3A">
        <w:t>rio percorso di diagnosi e cura;</w:t>
      </w:r>
    </w:p>
    <w:p w14:paraId="0EB69DC5" w14:textId="77777777" w:rsidR="00455D3A" w:rsidRPr="00455D3A" w:rsidRDefault="0069305B" w:rsidP="001A3D3B">
      <w:pPr>
        <w:pStyle w:val="Paragrafoelenco"/>
        <w:numPr>
          <w:ilvl w:val="0"/>
          <w:numId w:val="31"/>
        </w:numPr>
        <w:ind w:left="426"/>
        <w:jc w:val="both"/>
      </w:pPr>
      <w:r w:rsidRPr="00455D3A">
        <w:lastRenderedPageBreak/>
        <w:t>Il cittadino ha diritto di ottenere la prestazione oggetto di garanzia del tempo di attesa nel bacino territoriale di garanzia, così come definito dalla propria Azienda</w:t>
      </w:r>
      <w:r w:rsidR="00455D3A" w:rsidRPr="00455D3A">
        <w:t>;</w:t>
      </w:r>
      <w:r w:rsidRPr="00455D3A">
        <w:t xml:space="preserve"> </w:t>
      </w:r>
    </w:p>
    <w:p w14:paraId="0ECF3C93" w14:textId="77777777" w:rsidR="00455D3A" w:rsidRPr="00455D3A" w:rsidRDefault="0069305B" w:rsidP="001A3D3B">
      <w:pPr>
        <w:pStyle w:val="Paragrafoelenco"/>
        <w:numPr>
          <w:ilvl w:val="0"/>
          <w:numId w:val="31"/>
        </w:numPr>
        <w:ind w:left="426"/>
        <w:jc w:val="both"/>
      </w:pPr>
      <w:r w:rsidRPr="00455D3A">
        <w:t xml:space="preserve">Il cittadino ha il diritto di rinunciare a cure e prestazioni programmate, informando tempestivamente la struttura </w:t>
      </w:r>
      <w:r w:rsidR="001C363C">
        <w:t>sanitaria</w:t>
      </w:r>
      <w:r w:rsidRPr="00455D3A">
        <w:t xml:space="preserve">, secondo le indicazioni esplicitate nel presente </w:t>
      </w:r>
      <w:r w:rsidR="00FB122B">
        <w:t>Piano</w:t>
      </w:r>
      <w:r w:rsidR="00455D3A" w:rsidRPr="00455D3A">
        <w:t>;</w:t>
      </w:r>
    </w:p>
    <w:p w14:paraId="3F539B1C" w14:textId="722E2C27" w:rsidR="0069305B" w:rsidRPr="00962E76" w:rsidRDefault="0069305B" w:rsidP="001A3D3B">
      <w:pPr>
        <w:pStyle w:val="Paragrafoelenco"/>
        <w:numPr>
          <w:ilvl w:val="0"/>
          <w:numId w:val="31"/>
        </w:numPr>
        <w:ind w:left="426"/>
        <w:jc w:val="both"/>
      </w:pPr>
      <w:r w:rsidRPr="00455D3A">
        <w:t xml:space="preserve">Il cittadino ha diritto di ricevere un avviso </w:t>
      </w:r>
      <w:r w:rsidRPr="00962E76">
        <w:t xml:space="preserve">di </w:t>
      </w:r>
      <w:proofErr w:type="spellStart"/>
      <w:r w:rsidRPr="00962E76">
        <w:rPr>
          <w:i/>
        </w:rPr>
        <w:t>r</w:t>
      </w:r>
      <w:r w:rsidR="00F22B70" w:rsidRPr="00962E76">
        <w:rPr>
          <w:i/>
        </w:rPr>
        <w:t>emind</w:t>
      </w:r>
      <w:proofErr w:type="spellEnd"/>
      <w:r w:rsidRPr="00962E76">
        <w:t xml:space="preserve"> che gli ricordi la data di appuntamento fissato</w:t>
      </w:r>
      <w:r w:rsidR="001C363C" w:rsidRPr="00962E76">
        <w:t xml:space="preserve">, secondo le indicazioni esplicitate nel presente </w:t>
      </w:r>
      <w:r w:rsidR="00FB122B" w:rsidRPr="00962E76">
        <w:t>Piano</w:t>
      </w:r>
      <w:r w:rsidRPr="00962E76">
        <w:t>.</w:t>
      </w:r>
    </w:p>
    <w:p w14:paraId="0572547F" w14:textId="195027A9" w:rsidR="0069305B" w:rsidRPr="00455D3A" w:rsidRDefault="0069305B" w:rsidP="00F15158">
      <w:pPr>
        <w:ind w:firstLine="426"/>
        <w:jc w:val="both"/>
        <w:rPr>
          <w:b/>
        </w:rPr>
      </w:pPr>
      <w:r w:rsidRPr="00455D3A">
        <w:rPr>
          <w:b/>
        </w:rPr>
        <w:tab/>
        <w:t>Doveri</w:t>
      </w:r>
    </w:p>
    <w:p w14:paraId="0E203F04" w14:textId="77777777" w:rsidR="00455D3A" w:rsidRPr="00455D3A" w:rsidRDefault="0069305B" w:rsidP="001A3D3B">
      <w:pPr>
        <w:pStyle w:val="Paragrafoelenco"/>
        <w:numPr>
          <w:ilvl w:val="0"/>
          <w:numId w:val="31"/>
        </w:numPr>
        <w:ind w:left="426"/>
        <w:jc w:val="both"/>
      </w:pPr>
      <w:r w:rsidRPr="00455D3A">
        <w:t xml:space="preserve">Il cittadino ha il dovere di informare tempestivamente la struttura sulla propria intenzione di rinunciare, secondo la propria volontà, a cure e prestazioni sanitarie programmate, secondo le indicazioni esplicitate nel presente </w:t>
      </w:r>
      <w:r w:rsidR="00FB122B">
        <w:t>Piano</w:t>
      </w:r>
      <w:r w:rsidRPr="00455D3A">
        <w:t>, al fine di contribuire con un comportamento responsabile al più efficiente utilizzo delle risorse pubbliche</w:t>
      </w:r>
      <w:r w:rsidR="00455D3A" w:rsidRPr="00455D3A">
        <w:t>;</w:t>
      </w:r>
    </w:p>
    <w:p w14:paraId="061E3CBF" w14:textId="77777777" w:rsidR="00455D3A" w:rsidRPr="00455D3A" w:rsidRDefault="0069305B" w:rsidP="001A3D3B">
      <w:pPr>
        <w:pStyle w:val="Paragrafoelenco"/>
        <w:numPr>
          <w:ilvl w:val="0"/>
          <w:numId w:val="31"/>
        </w:numPr>
        <w:ind w:left="426"/>
        <w:jc w:val="both"/>
      </w:pPr>
      <w:r w:rsidRPr="00455D3A">
        <w:t>Il cittadino quando accede in una struttura sanitaria deve avere un comportamento responsabile in ogni momento, nel rispetto e nella comprensione dei diritti degli altri assistiti e a collaborare con il personale medico, infermieristico, tecnico</w:t>
      </w:r>
      <w:r w:rsidR="00455D3A" w:rsidRPr="00455D3A">
        <w:t>;</w:t>
      </w:r>
    </w:p>
    <w:p w14:paraId="510D1904" w14:textId="77777777" w:rsidR="008D1C26" w:rsidRDefault="0069305B" w:rsidP="001A3D3B">
      <w:pPr>
        <w:pStyle w:val="Paragrafoelenco"/>
        <w:numPr>
          <w:ilvl w:val="0"/>
          <w:numId w:val="31"/>
        </w:numPr>
        <w:ind w:left="426"/>
        <w:jc w:val="both"/>
      </w:pPr>
      <w:r w:rsidRPr="00455D3A">
        <w:t>Il cittadino ha il dovere di pagare la quota di compartecipazione, se dovuta, prima di effettuare la prestazione, salvo particolari deroghe.</w:t>
      </w:r>
    </w:p>
    <w:p w14:paraId="7E85A00A" w14:textId="77777777" w:rsidR="006E00C5" w:rsidRDefault="006E00C5" w:rsidP="006E00C5">
      <w:pPr>
        <w:ind w:left="405"/>
        <w:jc w:val="both"/>
      </w:pPr>
    </w:p>
    <w:p w14:paraId="6759ADEB" w14:textId="77777777" w:rsidR="0069305B" w:rsidRPr="00455D3A" w:rsidRDefault="0069305B" w:rsidP="00F37660">
      <w:pPr>
        <w:pStyle w:val="Paragrafoelenco"/>
        <w:numPr>
          <w:ilvl w:val="0"/>
          <w:numId w:val="23"/>
        </w:numPr>
        <w:jc w:val="both"/>
        <w:rPr>
          <w:b/>
        </w:rPr>
      </w:pPr>
      <w:r w:rsidRPr="00455D3A">
        <w:rPr>
          <w:b/>
        </w:rPr>
        <w:t>Il monitoraggio dei Piani attuativi aziendali (PAA)</w:t>
      </w:r>
    </w:p>
    <w:p w14:paraId="76720E2C" w14:textId="77777777" w:rsidR="008D1C26" w:rsidRPr="00455D3A" w:rsidRDefault="0069305B" w:rsidP="001A3D3B">
      <w:pPr>
        <w:jc w:val="both"/>
      </w:pPr>
      <w:r w:rsidRPr="00455D3A">
        <w:t xml:space="preserve">La DGR </w:t>
      </w:r>
      <w:r w:rsidR="00413024" w:rsidRPr="00455D3A">
        <w:t>329/2023, a cui si rinvia per l’attuazione,</w:t>
      </w:r>
      <w:r w:rsidRPr="00455D3A">
        <w:t xml:space="preserve"> prevede l’istituzione presso le Aziende Sanitarie di un tavolo di monitoraggio aziendale dei tempi di attesa, </w:t>
      </w:r>
      <w:r w:rsidR="00413024" w:rsidRPr="00455D3A">
        <w:t>con il compito di valutare i risultati relativi al rispetto de</w:t>
      </w:r>
      <w:r w:rsidR="00FB122B">
        <w:t>lla tempistica</w:t>
      </w:r>
      <w:r w:rsidR="00413024" w:rsidRPr="00455D3A">
        <w:t xml:space="preserve">, al rispetto dell’appropriatezza prescrittiva e al rispetto dei percorsi assistenziali nonché modalità di formazione/informazione destinate ai </w:t>
      </w:r>
      <w:proofErr w:type="spellStart"/>
      <w:r w:rsidR="00413024" w:rsidRPr="00455D3A">
        <w:t>prescrittori</w:t>
      </w:r>
      <w:proofErr w:type="spellEnd"/>
      <w:r w:rsidR="00413024" w:rsidRPr="00455D3A">
        <w:t xml:space="preserve">. </w:t>
      </w:r>
    </w:p>
    <w:p w14:paraId="1096AD37" w14:textId="77777777" w:rsidR="0069305B" w:rsidRPr="00455D3A" w:rsidRDefault="0069305B" w:rsidP="00C35108">
      <w:pPr>
        <w:pStyle w:val="Paragrafoelenco"/>
        <w:numPr>
          <w:ilvl w:val="0"/>
          <w:numId w:val="23"/>
        </w:numPr>
        <w:jc w:val="both"/>
        <w:rPr>
          <w:b/>
        </w:rPr>
      </w:pPr>
      <w:r w:rsidRPr="00455D3A">
        <w:rPr>
          <w:b/>
        </w:rPr>
        <w:t>Scadenze</w:t>
      </w:r>
    </w:p>
    <w:p w14:paraId="66FF1FB9" w14:textId="6C9E3D9E" w:rsidR="008D1C26" w:rsidRDefault="0069305B" w:rsidP="00F37660">
      <w:pPr>
        <w:jc w:val="both"/>
      </w:pPr>
      <w:r w:rsidRPr="00455D3A">
        <w:t>Entro</w:t>
      </w:r>
      <w:r w:rsidR="00413024" w:rsidRPr="00455D3A">
        <w:t xml:space="preserve"> 30 giorni dall’approvazione del </w:t>
      </w:r>
      <w:r w:rsidR="00FB122B">
        <w:t>presente Piano</w:t>
      </w:r>
      <w:r w:rsidR="00413024" w:rsidRPr="00455D3A">
        <w:t xml:space="preserve"> </w:t>
      </w:r>
      <w:r w:rsidRPr="00455D3A">
        <w:t xml:space="preserve">le Aziende dovranno trasmettere alla Direzione </w:t>
      </w:r>
      <w:r w:rsidR="00413024" w:rsidRPr="00455D3A">
        <w:t>Generale per la salute e le politiche della persona</w:t>
      </w:r>
      <w:r w:rsidR="00F37660">
        <w:t xml:space="preserve"> i</w:t>
      </w:r>
      <w:r w:rsidRPr="00455D3A">
        <w:t xml:space="preserve">l </w:t>
      </w:r>
      <w:r w:rsidR="00FB122B">
        <w:t>Piano</w:t>
      </w:r>
      <w:r w:rsidRPr="00455D3A">
        <w:t xml:space="preserve"> </w:t>
      </w:r>
      <w:r w:rsidR="00B20C87">
        <w:t>attuativo aziendale</w:t>
      </w:r>
      <w:r w:rsidRPr="00455D3A">
        <w:t xml:space="preserve"> dell’anno in corso</w:t>
      </w:r>
      <w:r w:rsidR="00FB122B">
        <w:t xml:space="preserve"> per </w:t>
      </w:r>
      <w:r w:rsidR="00FB122B" w:rsidRPr="00F37660">
        <w:rPr>
          <w:rFonts w:eastAsiaTheme="minorHAnsi"/>
        </w:rPr>
        <w:t xml:space="preserve">il governo delle liste di attesa </w:t>
      </w:r>
      <w:r w:rsidRPr="00455D3A">
        <w:t>(Allegato 2);</w:t>
      </w:r>
    </w:p>
    <w:p w14:paraId="23617939" w14:textId="77777777" w:rsidR="00F71692" w:rsidRDefault="00F71692" w:rsidP="00F71692">
      <w:pPr>
        <w:jc w:val="both"/>
      </w:pPr>
    </w:p>
    <w:p w14:paraId="59E1443C" w14:textId="77777777" w:rsidR="0083321B" w:rsidRPr="00455D3A" w:rsidRDefault="008061FC" w:rsidP="00C35108">
      <w:pPr>
        <w:pStyle w:val="Paragrafoelenco"/>
        <w:numPr>
          <w:ilvl w:val="0"/>
          <w:numId w:val="23"/>
        </w:numPr>
        <w:jc w:val="both"/>
        <w:rPr>
          <w:b/>
        </w:rPr>
      </w:pPr>
      <w:r w:rsidRPr="00455D3A">
        <w:rPr>
          <w:b/>
        </w:rPr>
        <w:t xml:space="preserve">Direttori generali </w:t>
      </w:r>
    </w:p>
    <w:p w14:paraId="45F5352A" w14:textId="77777777" w:rsidR="004E6F9C" w:rsidRDefault="004E6F9C" w:rsidP="00133BCB">
      <w:pPr>
        <w:pStyle w:val="Default"/>
        <w:jc w:val="both"/>
        <w:rPr>
          <w:rFonts w:asciiTheme="minorHAnsi" w:hAnsiTheme="minorHAnsi" w:cstheme="minorBidi"/>
          <w:color w:val="auto"/>
          <w:sz w:val="22"/>
          <w:szCs w:val="22"/>
        </w:rPr>
      </w:pPr>
    </w:p>
    <w:p w14:paraId="3203942E" w14:textId="37F5A0CF" w:rsidR="0083321B" w:rsidRPr="00455D3A" w:rsidRDefault="0083321B" w:rsidP="00133BCB">
      <w:pPr>
        <w:pStyle w:val="Default"/>
        <w:jc w:val="both"/>
        <w:rPr>
          <w:rFonts w:asciiTheme="minorHAnsi" w:hAnsiTheme="minorHAnsi" w:cstheme="minorBidi"/>
          <w:color w:val="auto"/>
          <w:sz w:val="22"/>
          <w:szCs w:val="22"/>
        </w:rPr>
      </w:pPr>
      <w:r w:rsidRPr="00455D3A">
        <w:rPr>
          <w:rFonts w:asciiTheme="minorHAnsi" w:hAnsiTheme="minorHAnsi" w:cstheme="minorBidi"/>
          <w:color w:val="auto"/>
          <w:sz w:val="22"/>
          <w:szCs w:val="22"/>
        </w:rPr>
        <w:t>I Direttori generali del Servizio sanitario regionale, sono responsabili di approvare il P</w:t>
      </w:r>
      <w:r w:rsidR="00242A69">
        <w:rPr>
          <w:rFonts w:asciiTheme="minorHAnsi" w:hAnsiTheme="minorHAnsi" w:cstheme="minorBidi"/>
          <w:color w:val="auto"/>
          <w:sz w:val="22"/>
          <w:szCs w:val="22"/>
        </w:rPr>
        <w:t>iano</w:t>
      </w:r>
      <w:r w:rsidRPr="00455D3A">
        <w:rPr>
          <w:rFonts w:asciiTheme="minorHAnsi" w:hAnsiTheme="minorHAnsi" w:cstheme="minorBidi"/>
          <w:color w:val="auto"/>
          <w:sz w:val="22"/>
          <w:szCs w:val="22"/>
        </w:rPr>
        <w:t xml:space="preserve"> </w:t>
      </w:r>
      <w:r w:rsidR="00B20C87">
        <w:rPr>
          <w:rFonts w:asciiTheme="minorHAnsi" w:hAnsiTheme="minorHAnsi" w:cstheme="minorBidi"/>
          <w:color w:val="auto"/>
          <w:sz w:val="22"/>
          <w:szCs w:val="22"/>
        </w:rPr>
        <w:t>attuativo aziendale</w:t>
      </w:r>
      <w:r w:rsidR="00F37660">
        <w:rPr>
          <w:rFonts w:asciiTheme="minorHAnsi" w:hAnsiTheme="minorHAnsi" w:cstheme="minorBidi"/>
          <w:color w:val="auto"/>
          <w:sz w:val="22"/>
          <w:szCs w:val="22"/>
        </w:rPr>
        <w:t>, coerentemente con quanto riportato nel presente Piano regionale,</w:t>
      </w:r>
      <w:r w:rsidRPr="00455D3A">
        <w:rPr>
          <w:rFonts w:asciiTheme="minorHAnsi" w:hAnsiTheme="minorHAnsi" w:cstheme="minorBidi"/>
          <w:color w:val="auto"/>
          <w:sz w:val="22"/>
          <w:szCs w:val="22"/>
        </w:rPr>
        <w:t xml:space="preserve"> garantendone il rispetto, l’attuazione</w:t>
      </w:r>
      <w:r w:rsidR="00F37660">
        <w:rPr>
          <w:rFonts w:asciiTheme="minorHAnsi" w:hAnsiTheme="minorHAnsi" w:cstheme="minorBidi"/>
          <w:color w:val="auto"/>
          <w:sz w:val="22"/>
          <w:szCs w:val="22"/>
        </w:rPr>
        <w:t>, il monitoraggio</w:t>
      </w:r>
      <w:r w:rsidRPr="00455D3A">
        <w:rPr>
          <w:rFonts w:asciiTheme="minorHAnsi" w:hAnsiTheme="minorHAnsi" w:cstheme="minorBidi"/>
          <w:color w:val="auto"/>
          <w:sz w:val="22"/>
          <w:szCs w:val="22"/>
        </w:rPr>
        <w:t xml:space="preserve"> e il costante aggiornamento. </w:t>
      </w:r>
    </w:p>
    <w:p w14:paraId="46A6C51C" w14:textId="77777777" w:rsidR="00F37660" w:rsidRPr="00455D3A" w:rsidRDefault="00F37660" w:rsidP="00F37660">
      <w:pPr>
        <w:pStyle w:val="Default"/>
        <w:jc w:val="both"/>
        <w:rPr>
          <w:rFonts w:asciiTheme="minorHAnsi" w:hAnsiTheme="minorHAnsi" w:cstheme="minorBidi"/>
          <w:color w:val="auto"/>
          <w:sz w:val="22"/>
          <w:szCs w:val="22"/>
        </w:rPr>
      </w:pPr>
      <w:r w:rsidRPr="00455D3A">
        <w:rPr>
          <w:rFonts w:asciiTheme="minorHAnsi" w:hAnsiTheme="minorHAnsi" w:cstheme="minorBidi"/>
          <w:color w:val="auto"/>
          <w:sz w:val="22"/>
          <w:szCs w:val="22"/>
        </w:rPr>
        <w:t xml:space="preserve">In caso di mancato rispetto dei tempi massimi previsti, i Direttori Generali devono attivare tutte le iniziative idonee a riportare i valori entro i termini programmati. </w:t>
      </w:r>
    </w:p>
    <w:p w14:paraId="4E586F25" w14:textId="079DB2FF" w:rsidR="001269CE" w:rsidRPr="00962E76" w:rsidRDefault="001269CE" w:rsidP="00133BCB">
      <w:pPr>
        <w:pStyle w:val="Default"/>
        <w:jc w:val="both"/>
        <w:rPr>
          <w:rFonts w:asciiTheme="minorHAnsi" w:hAnsiTheme="minorHAnsi" w:cstheme="minorBidi"/>
          <w:color w:val="auto"/>
          <w:sz w:val="22"/>
          <w:szCs w:val="22"/>
        </w:rPr>
      </w:pPr>
    </w:p>
    <w:p w14:paraId="47E8A32C" w14:textId="52847867" w:rsidR="003D5D99" w:rsidRPr="00962E76" w:rsidRDefault="003D5D99" w:rsidP="00133BCB">
      <w:pPr>
        <w:pStyle w:val="Default"/>
        <w:jc w:val="both"/>
        <w:rPr>
          <w:rFonts w:asciiTheme="minorHAnsi" w:hAnsiTheme="minorHAnsi" w:cstheme="minorBidi"/>
          <w:color w:val="auto"/>
          <w:sz w:val="22"/>
          <w:szCs w:val="22"/>
        </w:rPr>
      </w:pPr>
      <w:r w:rsidRPr="00962E76">
        <w:rPr>
          <w:rFonts w:asciiTheme="minorHAnsi" w:hAnsiTheme="minorHAnsi" w:cstheme="minorBidi"/>
          <w:color w:val="auto"/>
          <w:sz w:val="22"/>
          <w:szCs w:val="22"/>
        </w:rPr>
        <w:t xml:space="preserve">Oltre lo specifico obiettivo previsto nelle singole delibere di nomina dei Direttori delle Aziende del </w:t>
      </w:r>
      <w:proofErr w:type="gramStart"/>
      <w:r w:rsidRPr="00962E76">
        <w:rPr>
          <w:rFonts w:asciiTheme="minorHAnsi" w:hAnsiTheme="minorHAnsi" w:cstheme="minorBidi"/>
          <w:color w:val="auto"/>
          <w:sz w:val="22"/>
          <w:szCs w:val="22"/>
        </w:rPr>
        <w:t>SSR ,</w:t>
      </w:r>
      <w:proofErr w:type="gramEnd"/>
      <w:r w:rsidRPr="00962E76">
        <w:rPr>
          <w:rFonts w:asciiTheme="minorHAnsi" w:hAnsiTheme="minorHAnsi" w:cstheme="minorBidi"/>
          <w:color w:val="auto"/>
          <w:sz w:val="22"/>
          <w:szCs w:val="22"/>
        </w:rPr>
        <w:t xml:space="preserve"> le obbligazioni nascenti dal presente Piano costituiscono obiettivo di mandato ai sensi e per gli effetti dell’art. 2 del </w:t>
      </w:r>
      <w:proofErr w:type="spellStart"/>
      <w:r w:rsidRPr="00962E76">
        <w:rPr>
          <w:rFonts w:asciiTheme="minorHAnsi" w:hAnsiTheme="minorHAnsi" w:cstheme="minorBidi"/>
          <w:color w:val="auto"/>
          <w:sz w:val="22"/>
          <w:szCs w:val="22"/>
        </w:rPr>
        <w:t>D.Lgs</w:t>
      </w:r>
      <w:proofErr w:type="spellEnd"/>
      <w:r w:rsidRPr="00962E76">
        <w:rPr>
          <w:rFonts w:asciiTheme="minorHAnsi" w:hAnsiTheme="minorHAnsi" w:cstheme="minorBidi"/>
          <w:color w:val="auto"/>
          <w:sz w:val="22"/>
          <w:szCs w:val="22"/>
        </w:rPr>
        <w:t xml:space="preserve"> 171/2016.</w:t>
      </w:r>
    </w:p>
    <w:p w14:paraId="3F0BE740" w14:textId="77777777" w:rsidR="003D5D99" w:rsidRPr="00962E76" w:rsidRDefault="003D5D99" w:rsidP="00133BCB">
      <w:pPr>
        <w:pStyle w:val="Default"/>
        <w:jc w:val="both"/>
        <w:rPr>
          <w:rFonts w:asciiTheme="minorHAnsi" w:hAnsiTheme="minorHAnsi" w:cstheme="minorBidi"/>
          <w:color w:val="auto"/>
          <w:sz w:val="22"/>
          <w:szCs w:val="22"/>
        </w:rPr>
      </w:pPr>
    </w:p>
    <w:p w14:paraId="63E7CBD6" w14:textId="08C561F3" w:rsidR="0083321B" w:rsidRPr="00455D3A" w:rsidRDefault="00F37660" w:rsidP="00133BCB">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I Direttori Generali devono avviare</w:t>
      </w:r>
      <w:r w:rsidR="0083321B" w:rsidRPr="00455D3A">
        <w:rPr>
          <w:rFonts w:asciiTheme="minorHAnsi" w:hAnsiTheme="minorHAnsi" w:cstheme="minorBidi"/>
          <w:color w:val="auto"/>
          <w:sz w:val="22"/>
          <w:szCs w:val="22"/>
        </w:rPr>
        <w:t xml:space="preserve"> all’interno delle</w:t>
      </w:r>
      <w:r w:rsidR="00A541FF">
        <w:rPr>
          <w:rFonts w:asciiTheme="minorHAnsi" w:hAnsiTheme="minorHAnsi" w:cstheme="minorBidi"/>
          <w:color w:val="auto"/>
          <w:sz w:val="22"/>
          <w:szCs w:val="22"/>
        </w:rPr>
        <w:t xml:space="preserve"> proprie </w:t>
      </w:r>
      <w:r w:rsidR="0083321B" w:rsidRPr="00455D3A">
        <w:rPr>
          <w:rFonts w:asciiTheme="minorHAnsi" w:hAnsiTheme="minorHAnsi" w:cstheme="minorBidi"/>
          <w:color w:val="auto"/>
          <w:sz w:val="22"/>
          <w:szCs w:val="22"/>
        </w:rPr>
        <w:t>Aziende</w:t>
      </w:r>
      <w:r w:rsidR="00A541FF">
        <w:rPr>
          <w:rFonts w:asciiTheme="minorHAnsi" w:hAnsiTheme="minorHAnsi" w:cstheme="minorBidi"/>
          <w:color w:val="auto"/>
          <w:sz w:val="22"/>
          <w:szCs w:val="22"/>
        </w:rPr>
        <w:t xml:space="preserve"> le </w:t>
      </w:r>
      <w:r w:rsidR="0083321B" w:rsidRPr="00455D3A">
        <w:rPr>
          <w:rFonts w:asciiTheme="minorHAnsi" w:hAnsiTheme="minorHAnsi" w:cstheme="minorBidi"/>
          <w:color w:val="auto"/>
          <w:sz w:val="22"/>
          <w:szCs w:val="22"/>
        </w:rPr>
        <w:t>seguenti</w:t>
      </w:r>
      <w:r w:rsidR="00A541FF">
        <w:rPr>
          <w:rFonts w:asciiTheme="minorHAnsi" w:hAnsiTheme="minorHAnsi" w:cstheme="minorBidi"/>
          <w:color w:val="auto"/>
          <w:sz w:val="22"/>
          <w:szCs w:val="22"/>
        </w:rPr>
        <w:t xml:space="preserve"> azioni </w:t>
      </w:r>
      <w:bookmarkStart w:id="0" w:name="_GoBack"/>
      <w:bookmarkEnd w:id="0"/>
      <w:r w:rsidR="0083321B" w:rsidRPr="00455D3A">
        <w:rPr>
          <w:rFonts w:asciiTheme="minorHAnsi" w:hAnsiTheme="minorHAnsi" w:cstheme="minorBidi"/>
          <w:color w:val="auto"/>
          <w:sz w:val="22"/>
          <w:szCs w:val="22"/>
        </w:rPr>
        <w:t xml:space="preserve"> </w:t>
      </w:r>
    </w:p>
    <w:p w14:paraId="4E83BA3E" w14:textId="77777777" w:rsidR="001269CE" w:rsidRPr="00455D3A" w:rsidRDefault="001269CE" w:rsidP="00133BCB">
      <w:pPr>
        <w:pStyle w:val="Default"/>
        <w:jc w:val="both"/>
        <w:rPr>
          <w:rFonts w:asciiTheme="minorHAnsi" w:hAnsiTheme="minorHAnsi" w:cstheme="minorBidi"/>
          <w:color w:val="auto"/>
          <w:sz w:val="22"/>
          <w:szCs w:val="22"/>
        </w:rPr>
      </w:pPr>
    </w:p>
    <w:p w14:paraId="2E8CACC6" w14:textId="77777777" w:rsidR="0083321B" w:rsidRPr="00455D3A" w:rsidRDefault="0083321B" w:rsidP="00242A69">
      <w:pPr>
        <w:pStyle w:val="Default"/>
        <w:numPr>
          <w:ilvl w:val="0"/>
          <w:numId w:val="17"/>
        </w:numPr>
        <w:jc w:val="both"/>
        <w:rPr>
          <w:rFonts w:asciiTheme="minorHAnsi" w:hAnsiTheme="minorHAnsi" w:cstheme="minorBidi"/>
          <w:color w:val="auto"/>
          <w:sz w:val="22"/>
          <w:szCs w:val="22"/>
        </w:rPr>
      </w:pPr>
      <w:r w:rsidRPr="00455D3A">
        <w:rPr>
          <w:rFonts w:asciiTheme="minorHAnsi" w:hAnsiTheme="minorHAnsi" w:cstheme="minorBidi"/>
          <w:color w:val="auto"/>
          <w:sz w:val="22"/>
          <w:szCs w:val="22"/>
        </w:rPr>
        <w:t xml:space="preserve">coinvolgere ed informare gli attori che partecipano, con ruolo diverso, alla generazione della richiesta di esami e prescrizioni (MMG, PLS, medici specialisti ambulatoriali, medici ospedalieri, medici convenzionati, utenti); </w:t>
      </w:r>
    </w:p>
    <w:p w14:paraId="65CCF002" w14:textId="33FFA36F" w:rsidR="0083321B" w:rsidRPr="00455D3A" w:rsidRDefault="00A541FF" w:rsidP="00242A69">
      <w:pPr>
        <w:pStyle w:val="Default"/>
        <w:numPr>
          <w:ilvl w:val="0"/>
          <w:numId w:val="17"/>
        </w:numPr>
        <w:spacing w:after="145"/>
        <w:jc w:val="both"/>
        <w:rPr>
          <w:rFonts w:asciiTheme="minorHAnsi" w:hAnsiTheme="minorHAnsi" w:cstheme="minorBidi"/>
          <w:color w:val="auto"/>
          <w:sz w:val="22"/>
          <w:szCs w:val="22"/>
        </w:rPr>
      </w:pPr>
      <w:r>
        <w:rPr>
          <w:rFonts w:asciiTheme="minorHAnsi" w:hAnsiTheme="minorHAnsi" w:cstheme="minorBidi"/>
          <w:color w:val="auto"/>
          <w:sz w:val="22"/>
          <w:szCs w:val="22"/>
        </w:rPr>
        <w:lastRenderedPageBreak/>
        <w:t xml:space="preserve">divulgare agli attori </w:t>
      </w:r>
      <w:r w:rsidR="0083321B" w:rsidRPr="00455D3A">
        <w:rPr>
          <w:rFonts w:asciiTheme="minorHAnsi" w:hAnsiTheme="minorHAnsi" w:cstheme="minorBidi"/>
          <w:color w:val="auto"/>
          <w:sz w:val="22"/>
          <w:szCs w:val="22"/>
        </w:rPr>
        <w:t>i criteri</w:t>
      </w:r>
      <w:r w:rsidR="00242A69">
        <w:rPr>
          <w:rFonts w:asciiTheme="minorHAnsi" w:hAnsiTheme="minorHAnsi" w:cstheme="minorBidi"/>
          <w:color w:val="auto"/>
          <w:sz w:val="22"/>
          <w:szCs w:val="22"/>
        </w:rPr>
        <w:t xml:space="preserve"> di priorità, sensibilizzando i </w:t>
      </w:r>
      <w:proofErr w:type="spellStart"/>
      <w:r w:rsidR="0083321B" w:rsidRPr="00455D3A">
        <w:rPr>
          <w:rFonts w:asciiTheme="minorHAnsi" w:hAnsiTheme="minorHAnsi" w:cstheme="minorBidi"/>
          <w:color w:val="auto"/>
          <w:sz w:val="22"/>
          <w:szCs w:val="22"/>
        </w:rPr>
        <w:t>prescrittori</w:t>
      </w:r>
      <w:proofErr w:type="spellEnd"/>
      <w:r w:rsidR="0083321B" w:rsidRPr="00455D3A">
        <w:rPr>
          <w:rFonts w:asciiTheme="minorHAnsi" w:hAnsiTheme="minorHAnsi" w:cstheme="minorBidi"/>
          <w:color w:val="auto"/>
          <w:sz w:val="22"/>
          <w:szCs w:val="22"/>
        </w:rPr>
        <w:t xml:space="preserve"> e monitorandone la corretta osservanza</w:t>
      </w:r>
      <w:r>
        <w:rPr>
          <w:rFonts w:asciiTheme="minorHAnsi" w:hAnsiTheme="minorHAnsi" w:cstheme="minorBidi"/>
          <w:color w:val="auto"/>
          <w:sz w:val="22"/>
          <w:szCs w:val="22"/>
        </w:rPr>
        <w:t>;</w:t>
      </w:r>
      <w:r w:rsidR="0083321B" w:rsidRPr="00455D3A">
        <w:rPr>
          <w:rFonts w:asciiTheme="minorHAnsi" w:hAnsiTheme="minorHAnsi" w:cstheme="minorBidi"/>
          <w:color w:val="auto"/>
          <w:sz w:val="22"/>
          <w:szCs w:val="22"/>
        </w:rPr>
        <w:t xml:space="preserve"> </w:t>
      </w:r>
    </w:p>
    <w:p w14:paraId="022072E4" w14:textId="33663B2D" w:rsidR="0083321B" w:rsidRPr="00455D3A" w:rsidRDefault="00A541FF" w:rsidP="00242A69">
      <w:pPr>
        <w:pStyle w:val="Default"/>
        <w:numPr>
          <w:ilvl w:val="0"/>
          <w:numId w:val="17"/>
        </w:numPr>
        <w:spacing w:after="145"/>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garantire </w:t>
      </w:r>
      <w:proofErr w:type="gramStart"/>
      <w:r>
        <w:rPr>
          <w:rFonts w:asciiTheme="minorHAnsi" w:hAnsiTheme="minorHAnsi" w:cstheme="minorBidi"/>
          <w:color w:val="auto"/>
          <w:sz w:val="22"/>
          <w:szCs w:val="22"/>
        </w:rPr>
        <w:t xml:space="preserve">e </w:t>
      </w:r>
      <w:r w:rsidR="0083321B" w:rsidRPr="00455D3A">
        <w:rPr>
          <w:rFonts w:asciiTheme="minorHAnsi" w:hAnsiTheme="minorHAnsi" w:cstheme="minorBidi"/>
          <w:color w:val="auto"/>
          <w:sz w:val="22"/>
          <w:szCs w:val="22"/>
        </w:rPr>
        <w:t xml:space="preserve"> monitora</w:t>
      </w:r>
      <w:r>
        <w:rPr>
          <w:rFonts w:asciiTheme="minorHAnsi" w:hAnsiTheme="minorHAnsi" w:cstheme="minorBidi"/>
          <w:color w:val="auto"/>
          <w:sz w:val="22"/>
          <w:szCs w:val="22"/>
        </w:rPr>
        <w:t>re</w:t>
      </w:r>
      <w:proofErr w:type="gramEnd"/>
      <w:r>
        <w:rPr>
          <w:rFonts w:asciiTheme="minorHAnsi" w:hAnsiTheme="minorHAnsi" w:cstheme="minorBidi"/>
          <w:color w:val="auto"/>
          <w:sz w:val="22"/>
          <w:szCs w:val="22"/>
        </w:rPr>
        <w:t xml:space="preserve"> l’utilizzo </w:t>
      </w:r>
      <w:r w:rsidR="0083321B" w:rsidRPr="00455D3A">
        <w:rPr>
          <w:rFonts w:asciiTheme="minorHAnsi" w:hAnsiTheme="minorHAnsi" w:cstheme="minorBidi"/>
          <w:color w:val="auto"/>
          <w:sz w:val="22"/>
          <w:szCs w:val="22"/>
        </w:rPr>
        <w:t>sistematic</w:t>
      </w:r>
      <w:r>
        <w:rPr>
          <w:rFonts w:asciiTheme="minorHAnsi" w:hAnsiTheme="minorHAnsi" w:cstheme="minorBidi"/>
          <w:color w:val="auto"/>
          <w:sz w:val="22"/>
          <w:szCs w:val="22"/>
        </w:rPr>
        <w:t>o</w:t>
      </w:r>
      <w:r w:rsidR="0083321B" w:rsidRPr="00455D3A">
        <w:rPr>
          <w:rFonts w:asciiTheme="minorHAnsi" w:hAnsiTheme="minorHAnsi" w:cstheme="minorBidi"/>
          <w:color w:val="auto"/>
          <w:sz w:val="22"/>
          <w:szCs w:val="22"/>
        </w:rPr>
        <w:t xml:space="preserve"> : </w:t>
      </w:r>
    </w:p>
    <w:p w14:paraId="31E45977" w14:textId="011AA977" w:rsidR="0083321B" w:rsidRPr="00455D3A" w:rsidRDefault="00A541FF" w:rsidP="00242A69">
      <w:pPr>
        <w:pStyle w:val="Default"/>
        <w:numPr>
          <w:ilvl w:val="0"/>
          <w:numId w:val="18"/>
        </w:numPr>
        <w:spacing w:after="145"/>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 del </w:t>
      </w:r>
      <w:r w:rsidR="0083321B" w:rsidRPr="00455D3A">
        <w:rPr>
          <w:rFonts w:asciiTheme="minorHAnsi" w:hAnsiTheme="minorHAnsi" w:cstheme="minorBidi"/>
          <w:color w:val="auto"/>
          <w:sz w:val="22"/>
          <w:szCs w:val="22"/>
        </w:rPr>
        <w:t xml:space="preserve">quesito diagnostico; </w:t>
      </w:r>
    </w:p>
    <w:p w14:paraId="2048EC66" w14:textId="08F980C1" w:rsidR="0083321B" w:rsidRPr="00455D3A" w:rsidRDefault="00A541FF" w:rsidP="00242A69">
      <w:pPr>
        <w:pStyle w:val="Default"/>
        <w:numPr>
          <w:ilvl w:val="0"/>
          <w:numId w:val="18"/>
        </w:numPr>
        <w:spacing w:after="145"/>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della </w:t>
      </w:r>
      <w:r w:rsidR="0083321B" w:rsidRPr="00455D3A">
        <w:rPr>
          <w:rFonts w:asciiTheme="minorHAnsi" w:hAnsiTheme="minorHAnsi" w:cstheme="minorBidi"/>
          <w:color w:val="auto"/>
          <w:sz w:val="22"/>
          <w:szCs w:val="22"/>
        </w:rPr>
        <w:t xml:space="preserve">classe di priorità; </w:t>
      </w:r>
    </w:p>
    <w:p w14:paraId="28A1B815" w14:textId="6C99D36F" w:rsidR="0083321B" w:rsidRPr="00455D3A" w:rsidRDefault="00A541FF" w:rsidP="00242A69">
      <w:pPr>
        <w:pStyle w:val="Default"/>
        <w:numPr>
          <w:ilvl w:val="0"/>
          <w:numId w:val="18"/>
        </w:numPr>
        <w:spacing w:after="145"/>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 della </w:t>
      </w:r>
      <w:r w:rsidR="0083321B" w:rsidRPr="00455D3A">
        <w:rPr>
          <w:rFonts w:asciiTheme="minorHAnsi" w:hAnsiTheme="minorHAnsi" w:cstheme="minorBidi"/>
          <w:color w:val="auto"/>
          <w:sz w:val="22"/>
          <w:szCs w:val="22"/>
        </w:rPr>
        <w:t xml:space="preserve">corretta identificazione di prima visita / visita di controllo; </w:t>
      </w:r>
    </w:p>
    <w:p w14:paraId="5F1FCBDA" w14:textId="6264BAAC" w:rsidR="0083321B" w:rsidRPr="00455D3A" w:rsidRDefault="00A541FF" w:rsidP="00242A69">
      <w:pPr>
        <w:pStyle w:val="Default"/>
        <w:numPr>
          <w:ilvl w:val="0"/>
          <w:numId w:val="18"/>
        </w:numPr>
        <w:spacing w:after="145"/>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 della </w:t>
      </w:r>
      <w:r w:rsidR="0083321B" w:rsidRPr="00455D3A">
        <w:rPr>
          <w:rFonts w:asciiTheme="minorHAnsi" w:hAnsiTheme="minorHAnsi" w:cstheme="minorBidi"/>
          <w:color w:val="auto"/>
          <w:sz w:val="22"/>
          <w:szCs w:val="22"/>
        </w:rPr>
        <w:t>prescrizione e prenotazione de</w:t>
      </w:r>
      <w:r>
        <w:rPr>
          <w:rFonts w:asciiTheme="minorHAnsi" w:hAnsiTheme="minorHAnsi" w:cstheme="minorBidi"/>
          <w:color w:val="auto"/>
          <w:sz w:val="22"/>
          <w:szCs w:val="22"/>
        </w:rPr>
        <w:t xml:space="preserve">gli accessi </w:t>
      </w:r>
      <w:r w:rsidR="0083321B" w:rsidRPr="00455D3A">
        <w:rPr>
          <w:rFonts w:asciiTheme="minorHAnsi" w:hAnsiTheme="minorHAnsi" w:cstheme="minorBidi"/>
          <w:color w:val="auto"/>
          <w:sz w:val="22"/>
          <w:szCs w:val="22"/>
        </w:rPr>
        <w:t>successiv</w:t>
      </w:r>
      <w:r>
        <w:rPr>
          <w:rFonts w:asciiTheme="minorHAnsi" w:hAnsiTheme="minorHAnsi" w:cstheme="minorBidi"/>
          <w:color w:val="auto"/>
          <w:sz w:val="22"/>
          <w:szCs w:val="22"/>
        </w:rPr>
        <w:t>i</w:t>
      </w:r>
      <w:r w:rsidR="0083321B" w:rsidRPr="00455D3A">
        <w:rPr>
          <w:rFonts w:asciiTheme="minorHAnsi" w:hAnsiTheme="minorHAnsi" w:cstheme="minorBidi"/>
          <w:color w:val="auto"/>
          <w:sz w:val="22"/>
          <w:szCs w:val="22"/>
        </w:rPr>
        <w:t xml:space="preserve"> da parte dei professionisti e delle strutture che hanno in carico l’utente; </w:t>
      </w:r>
    </w:p>
    <w:p w14:paraId="61DC5C4F" w14:textId="69895FE6" w:rsidR="0083321B" w:rsidRPr="00455D3A" w:rsidRDefault="00A541FF" w:rsidP="00242A69">
      <w:pPr>
        <w:pStyle w:val="Default"/>
        <w:numPr>
          <w:ilvl w:val="0"/>
          <w:numId w:val="18"/>
        </w:numPr>
        <w:spacing w:after="145"/>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 della </w:t>
      </w:r>
      <w:r w:rsidR="0083321B" w:rsidRPr="00455D3A">
        <w:rPr>
          <w:rFonts w:asciiTheme="minorHAnsi" w:hAnsiTheme="minorHAnsi" w:cstheme="minorBidi"/>
          <w:color w:val="auto"/>
          <w:sz w:val="22"/>
          <w:szCs w:val="22"/>
        </w:rPr>
        <w:t xml:space="preserve">corretta applicazione delle eventuali esenzioni; </w:t>
      </w:r>
    </w:p>
    <w:p w14:paraId="5DCE350A" w14:textId="77777777" w:rsidR="0083321B" w:rsidRPr="00455D3A" w:rsidRDefault="0083321B" w:rsidP="00242A69">
      <w:pPr>
        <w:pStyle w:val="Default"/>
        <w:numPr>
          <w:ilvl w:val="0"/>
          <w:numId w:val="17"/>
        </w:numPr>
        <w:jc w:val="both"/>
        <w:rPr>
          <w:rFonts w:asciiTheme="minorHAnsi" w:hAnsiTheme="minorHAnsi" w:cstheme="minorBidi"/>
          <w:color w:val="auto"/>
          <w:sz w:val="22"/>
          <w:szCs w:val="22"/>
        </w:rPr>
      </w:pPr>
      <w:r w:rsidRPr="00455D3A">
        <w:rPr>
          <w:rFonts w:asciiTheme="minorHAnsi" w:hAnsiTheme="minorHAnsi" w:cstheme="minorBidi"/>
          <w:color w:val="auto"/>
          <w:sz w:val="22"/>
          <w:szCs w:val="22"/>
        </w:rPr>
        <w:t xml:space="preserve">garantire un </w:t>
      </w:r>
      <w:r w:rsidRPr="00242A69">
        <w:rPr>
          <w:rFonts w:asciiTheme="minorHAnsi" w:hAnsiTheme="minorHAnsi" w:cstheme="minorBidi"/>
          <w:i/>
          <w:color w:val="auto"/>
          <w:sz w:val="22"/>
          <w:szCs w:val="22"/>
        </w:rPr>
        <w:t>feed-back</w:t>
      </w:r>
      <w:r w:rsidRPr="00455D3A">
        <w:rPr>
          <w:rFonts w:asciiTheme="minorHAnsi" w:hAnsiTheme="minorHAnsi" w:cstheme="minorBidi"/>
          <w:color w:val="auto"/>
          <w:sz w:val="22"/>
          <w:szCs w:val="22"/>
        </w:rPr>
        <w:t xml:space="preserve"> sui dati di monitoraggio all’interno dell’Azienda diffondendo i risultati delle attività di revisione al fine di ottenere un costante miglioramento della corretta compilazione delle ricette; </w:t>
      </w:r>
    </w:p>
    <w:p w14:paraId="4AD5A184" w14:textId="77777777" w:rsidR="0083321B" w:rsidRPr="00455D3A" w:rsidRDefault="0083321B" w:rsidP="00242A69">
      <w:pPr>
        <w:pStyle w:val="Default"/>
        <w:numPr>
          <w:ilvl w:val="0"/>
          <w:numId w:val="17"/>
        </w:numPr>
        <w:jc w:val="both"/>
        <w:rPr>
          <w:rFonts w:asciiTheme="minorHAnsi" w:hAnsiTheme="minorHAnsi" w:cstheme="minorBidi"/>
          <w:color w:val="auto"/>
          <w:sz w:val="22"/>
          <w:szCs w:val="22"/>
        </w:rPr>
      </w:pPr>
      <w:r w:rsidRPr="00455D3A">
        <w:rPr>
          <w:rFonts w:asciiTheme="minorHAnsi" w:hAnsiTheme="minorHAnsi" w:cstheme="minorBidi"/>
          <w:color w:val="auto"/>
          <w:sz w:val="22"/>
          <w:szCs w:val="22"/>
        </w:rPr>
        <w:t>diffondere le informazioni agli utenti sulle responsabilità diretta in caso di non presentazione alle prestazioni prenotate senza preavviso,</w:t>
      </w:r>
      <w:r w:rsidR="00735841" w:rsidRPr="00735841">
        <w:rPr>
          <w:rFonts w:asciiTheme="minorHAnsi" w:hAnsiTheme="minorHAnsi" w:cstheme="minorBidi"/>
          <w:color w:val="auto"/>
          <w:sz w:val="22"/>
          <w:szCs w:val="22"/>
        </w:rPr>
        <w:t xml:space="preserve"> secondo le indicazioni esplicitate nel presente Piano</w:t>
      </w:r>
      <w:r w:rsidR="00735841">
        <w:rPr>
          <w:rFonts w:asciiTheme="minorHAnsi" w:hAnsiTheme="minorHAnsi" w:cstheme="minorBidi"/>
          <w:color w:val="auto"/>
          <w:sz w:val="22"/>
          <w:szCs w:val="22"/>
        </w:rPr>
        <w:t>,</w:t>
      </w:r>
      <w:r w:rsidRPr="00455D3A">
        <w:rPr>
          <w:rFonts w:asciiTheme="minorHAnsi" w:hAnsiTheme="minorHAnsi" w:cstheme="minorBidi"/>
          <w:color w:val="auto"/>
          <w:sz w:val="22"/>
          <w:szCs w:val="22"/>
        </w:rPr>
        <w:t xml:space="preserve"> fatte salve documentate situazioni eccezionali; </w:t>
      </w:r>
    </w:p>
    <w:p w14:paraId="00A2197A" w14:textId="77777777" w:rsidR="0083321B" w:rsidRPr="00455D3A" w:rsidRDefault="0083321B" w:rsidP="00242A69">
      <w:pPr>
        <w:pStyle w:val="Default"/>
        <w:numPr>
          <w:ilvl w:val="0"/>
          <w:numId w:val="17"/>
        </w:numPr>
        <w:jc w:val="both"/>
        <w:rPr>
          <w:rFonts w:asciiTheme="minorHAnsi" w:hAnsiTheme="minorHAnsi" w:cstheme="minorBidi"/>
          <w:color w:val="auto"/>
          <w:sz w:val="22"/>
          <w:szCs w:val="22"/>
        </w:rPr>
      </w:pPr>
      <w:r w:rsidRPr="00455D3A">
        <w:rPr>
          <w:rFonts w:asciiTheme="minorHAnsi" w:hAnsiTheme="minorHAnsi" w:cstheme="minorBidi"/>
          <w:color w:val="auto"/>
          <w:sz w:val="22"/>
          <w:szCs w:val="22"/>
        </w:rPr>
        <w:t xml:space="preserve">garantire modalità appropriate di comunicazione degli operatori agli utenti </w:t>
      </w:r>
    </w:p>
    <w:p w14:paraId="65B80C99" w14:textId="30AEC9F7" w:rsidR="0083321B" w:rsidRPr="00455D3A" w:rsidRDefault="0083321B" w:rsidP="00242A69">
      <w:pPr>
        <w:pStyle w:val="Default"/>
        <w:numPr>
          <w:ilvl w:val="0"/>
          <w:numId w:val="17"/>
        </w:numPr>
        <w:jc w:val="both"/>
        <w:rPr>
          <w:rFonts w:asciiTheme="minorHAnsi" w:hAnsiTheme="minorHAnsi" w:cstheme="minorBidi"/>
          <w:color w:val="auto"/>
          <w:sz w:val="22"/>
          <w:szCs w:val="22"/>
        </w:rPr>
      </w:pPr>
      <w:r w:rsidRPr="00455D3A">
        <w:rPr>
          <w:rFonts w:asciiTheme="minorHAnsi" w:hAnsiTheme="minorHAnsi" w:cstheme="minorBidi"/>
          <w:color w:val="auto"/>
          <w:sz w:val="22"/>
          <w:szCs w:val="22"/>
        </w:rPr>
        <w:t xml:space="preserve">attuare il blocco dell’attività libero professionale, </w:t>
      </w:r>
      <w:r w:rsidR="00A541FF" w:rsidRPr="00455D3A">
        <w:rPr>
          <w:rFonts w:asciiTheme="minorHAnsi" w:hAnsiTheme="minorHAnsi" w:cstheme="minorBidi"/>
          <w:color w:val="auto"/>
          <w:sz w:val="22"/>
          <w:szCs w:val="22"/>
        </w:rPr>
        <w:t xml:space="preserve">in caso superamento del rapporto tra l’attività in libera professione e in istituzionale sulle prestazioni erogate e/o di sforamento dei tempi di attesa massimi già individuati dalla </w:t>
      </w:r>
      <w:r w:rsidR="00A541FF">
        <w:rPr>
          <w:rFonts w:asciiTheme="minorHAnsi" w:hAnsiTheme="minorHAnsi" w:cstheme="minorBidi"/>
          <w:color w:val="auto"/>
          <w:sz w:val="22"/>
          <w:szCs w:val="22"/>
        </w:rPr>
        <w:t>Regione</w:t>
      </w:r>
      <w:r w:rsidR="00A541FF" w:rsidRPr="00455D3A">
        <w:rPr>
          <w:rFonts w:asciiTheme="minorHAnsi" w:hAnsiTheme="minorHAnsi" w:cstheme="minorBidi"/>
          <w:color w:val="auto"/>
          <w:sz w:val="22"/>
          <w:szCs w:val="22"/>
        </w:rPr>
        <w:t xml:space="preserve">, </w:t>
      </w:r>
      <w:r w:rsidRPr="00455D3A">
        <w:rPr>
          <w:rFonts w:asciiTheme="minorHAnsi" w:hAnsiTheme="minorHAnsi" w:cstheme="minorBidi"/>
          <w:color w:val="auto"/>
          <w:sz w:val="22"/>
          <w:szCs w:val="22"/>
        </w:rPr>
        <w:t xml:space="preserve">fatta salva l’esecuzione delle prestazioni già prenotate. </w:t>
      </w:r>
    </w:p>
    <w:p w14:paraId="60C83B06" w14:textId="77777777" w:rsidR="0083321B" w:rsidRPr="00455D3A" w:rsidRDefault="0083321B" w:rsidP="00242A69">
      <w:pPr>
        <w:pStyle w:val="Default"/>
        <w:ind w:left="360"/>
        <w:jc w:val="both"/>
        <w:rPr>
          <w:rFonts w:asciiTheme="minorHAnsi" w:hAnsiTheme="minorHAnsi" w:cstheme="minorBidi"/>
          <w:color w:val="auto"/>
          <w:sz w:val="22"/>
          <w:szCs w:val="22"/>
        </w:rPr>
      </w:pPr>
    </w:p>
    <w:p w14:paraId="7C8D3AA1" w14:textId="77777777" w:rsidR="0083321B" w:rsidRPr="00455D3A" w:rsidRDefault="0083321B" w:rsidP="00242A69">
      <w:pPr>
        <w:pStyle w:val="Default"/>
        <w:ind w:left="360"/>
        <w:jc w:val="both"/>
        <w:rPr>
          <w:rFonts w:asciiTheme="minorHAnsi" w:hAnsiTheme="minorHAnsi" w:cstheme="minorBidi"/>
          <w:color w:val="auto"/>
          <w:sz w:val="22"/>
          <w:szCs w:val="22"/>
        </w:rPr>
      </w:pPr>
    </w:p>
    <w:p w14:paraId="510F3071" w14:textId="77777777" w:rsidR="0083321B" w:rsidRPr="001A3D3B" w:rsidRDefault="0083321B" w:rsidP="001A3D3B">
      <w:pPr>
        <w:jc w:val="both"/>
        <w:rPr>
          <w:color w:val="0070C0"/>
        </w:rPr>
      </w:pPr>
    </w:p>
    <w:p w14:paraId="4EC245ED" w14:textId="77777777" w:rsidR="0069305B" w:rsidRPr="00EB3C7E" w:rsidRDefault="0069305B" w:rsidP="001A3D3B">
      <w:pPr>
        <w:jc w:val="both"/>
      </w:pPr>
      <w:r w:rsidRPr="00EB3C7E">
        <w:rPr>
          <w:b/>
        </w:rPr>
        <w:t xml:space="preserve">Allegato 1: </w:t>
      </w:r>
      <w:r w:rsidRPr="00EB3C7E">
        <w:t>Elenco delle prestazioni traccianti ambulatoriali</w:t>
      </w:r>
    </w:p>
    <w:p w14:paraId="0E017E00" w14:textId="77777777" w:rsidR="009661B6" w:rsidRPr="00EB3C7E" w:rsidRDefault="0069305B" w:rsidP="0027359F">
      <w:pPr>
        <w:pStyle w:val="NormaleWeb"/>
        <w:spacing w:before="225" w:beforeAutospacing="0" w:after="225" w:afterAutospacing="0"/>
        <w:rPr>
          <w:rFonts w:asciiTheme="minorHAnsi" w:eastAsiaTheme="minorHAnsi" w:hAnsiTheme="minorHAnsi" w:cstheme="minorBidi"/>
          <w:sz w:val="22"/>
          <w:szCs w:val="22"/>
          <w:lang w:eastAsia="en-US"/>
        </w:rPr>
      </w:pPr>
      <w:r w:rsidRPr="00EB3C7E">
        <w:rPr>
          <w:rFonts w:asciiTheme="minorHAnsi" w:eastAsiaTheme="minorHAnsi" w:hAnsiTheme="minorHAnsi" w:cstheme="minorBidi"/>
          <w:b/>
          <w:sz w:val="22"/>
          <w:szCs w:val="22"/>
          <w:lang w:eastAsia="en-US"/>
        </w:rPr>
        <w:t xml:space="preserve">Allegato 2: </w:t>
      </w:r>
      <w:r w:rsidRPr="00EB3C7E">
        <w:rPr>
          <w:rFonts w:asciiTheme="minorHAnsi" w:eastAsiaTheme="minorHAnsi" w:hAnsiTheme="minorHAnsi" w:cstheme="minorBidi"/>
          <w:sz w:val="22"/>
          <w:szCs w:val="22"/>
          <w:lang w:eastAsia="en-US"/>
        </w:rPr>
        <w:t xml:space="preserve">Schema tipo </w:t>
      </w:r>
      <w:r w:rsidR="00FB122B">
        <w:rPr>
          <w:rFonts w:asciiTheme="minorHAnsi" w:eastAsiaTheme="minorHAnsi" w:hAnsiTheme="minorHAnsi" w:cstheme="minorBidi"/>
          <w:sz w:val="22"/>
          <w:szCs w:val="22"/>
          <w:lang w:eastAsia="en-US"/>
        </w:rPr>
        <w:t>Piano</w:t>
      </w:r>
      <w:r w:rsidRPr="00EB3C7E">
        <w:rPr>
          <w:rFonts w:asciiTheme="minorHAnsi" w:eastAsiaTheme="minorHAnsi" w:hAnsiTheme="minorHAnsi" w:cstheme="minorBidi"/>
          <w:sz w:val="22"/>
          <w:szCs w:val="22"/>
          <w:lang w:eastAsia="en-US"/>
        </w:rPr>
        <w:t xml:space="preserve"> </w:t>
      </w:r>
      <w:r w:rsidR="00B20C87">
        <w:rPr>
          <w:rFonts w:asciiTheme="minorHAnsi" w:eastAsiaTheme="minorHAnsi" w:hAnsiTheme="minorHAnsi" w:cstheme="minorBidi"/>
          <w:sz w:val="22"/>
          <w:szCs w:val="22"/>
          <w:lang w:eastAsia="en-US"/>
        </w:rPr>
        <w:t>Attuativo aziendale</w:t>
      </w:r>
      <w:r w:rsidRPr="00EB3C7E">
        <w:rPr>
          <w:rFonts w:asciiTheme="minorHAnsi" w:eastAsiaTheme="minorHAnsi" w:hAnsiTheme="minorHAnsi" w:cstheme="minorBidi"/>
          <w:sz w:val="22"/>
          <w:szCs w:val="22"/>
          <w:lang w:eastAsia="en-US"/>
        </w:rPr>
        <w:t xml:space="preserve"> per il Governo delle Liste di attesa </w:t>
      </w:r>
    </w:p>
    <w:p w14:paraId="6A4B84DD" w14:textId="77777777" w:rsidR="0027359F" w:rsidRDefault="0027359F" w:rsidP="0027359F">
      <w:pPr>
        <w:jc w:val="both"/>
      </w:pPr>
    </w:p>
    <w:p w14:paraId="6E34FB55" w14:textId="77777777" w:rsidR="0027359F" w:rsidRDefault="0027359F" w:rsidP="0027359F">
      <w:pPr>
        <w:jc w:val="both"/>
      </w:pPr>
    </w:p>
    <w:p w14:paraId="019ADF0C" w14:textId="77777777" w:rsidR="0027359F" w:rsidRPr="001A3D3B" w:rsidRDefault="0027359F" w:rsidP="0027359F">
      <w:pPr>
        <w:jc w:val="both"/>
        <w:rPr>
          <w:color w:val="0070C0"/>
        </w:rPr>
      </w:pPr>
    </w:p>
    <w:p w14:paraId="2D6B89E1" w14:textId="77777777" w:rsidR="0069305B" w:rsidRPr="000F74EA" w:rsidRDefault="000F74EA" w:rsidP="000F74EA">
      <w:pPr>
        <w:jc w:val="center"/>
        <w:rPr>
          <w:sz w:val="28"/>
          <w:szCs w:val="28"/>
        </w:rPr>
      </w:pPr>
      <w:r w:rsidRPr="000F74EA">
        <w:rPr>
          <w:sz w:val="28"/>
          <w:szCs w:val="28"/>
        </w:rPr>
        <w:t>*******</w:t>
      </w:r>
    </w:p>
    <w:sectPr w:rsidR="0069305B" w:rsidRPr="000F74EA" w:rsidSect="00D2628C">
      <w:footerReference w:type="default" r:id="rId8"/>
      <w:pgSz w:w="11906" w:h="16838"/>
      <w:pgMar w:top="1417" w:right="1134" w:bottom="1134"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FDC9B" w14:textId="77777777" w:rsidR="008A175C" w:rsidRDefault="008A175C" w:rsidP="00F15158">
      <w:pPr>
        <w:spacing w:after="0" w:line="240" w:lineRule="auto"/>
      </w:pPr>
      <w:r>
        <w:separator/>
      </w:r>
    </w:p>
  </w:endnote>
  <w:endnote w:type="continuationSeparator" w:id="0">
    <w:p w14:paraId="26CFAD08" w14:textId="77777777" w:rsidR="008A175C" w:rsidRDefault="008A175C" w:rsidP="00F1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150617"/>
      <w:docPartObj>
        <w:docPartGallery w:val="Page Numbers (Bottom of Page)"/>
        <w:docPartUnique/>
      </w:docPartObj>
    </w:sdtPr>
    <w:sdtEndPr/>
    <w:sdtContent>
      <w:p w14:paraId="348AD46C" w14:textId="4A6067DC" w:rsidR="00CA1618" w:rsidRDefault="00CA1618">
        <w:pPr>
          <w:pStyle w:val="Pidipagina"/>
          <w:jc w:val="center"/>
        </w:pPr>
        <w:r>
          <w:fldChar w:fldCharType="begin"/>
        </w:r>
        <w:r>
          <w:instrText>PAGE   \* MERGEFORMAT</w:instrText>
        </w:r>
        <w:r>
          <w:fldChar w:fldCharType="separate"/>
        </w:r>
        <w:r w:rsidR="00962E76">
          <w:rPr>
            <w:noProof/>
          </w:rPr>
          <w:t>12</w:t>
        </w:r>
        <w:r>
          <w:fldChar w:fldCharType="end"/>
        </w:r>
      </w:p>
    </w:sdtContent>
  </w:sdt>
  <w:p w14:paraId="4D040C06" w14:textId="77777777" w:rsidR="00CA1618" w:rsidRDefault="00CA16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77E81" w14:textId="77777777" w:rsidR="008A175C" w:rsidRDefault="008A175C" w:rsidP="00F15158">
      <w:pPr>
        <w:spacing w:after="0" w:line="240" w:lineRule="auto"/>
      </w:pPr>
      <w:r>
        <w:separator/>
      </w:r>
    </w:p>
  </w:footnote>
  <w:footnote w:type="continuationSeparator" w:id="0">
    <w:p w14:paraId="56955D6B" w14:textId="77777777" w:rsidR="008A175C" w:rsidRDefault="008A175C" w:rsidP="00F15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569"/>
    <w:multiLevelType w:val="hybridMultilevel"/>
    <w:tmpl w:val="D03648D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84185C"/>
    <w:multiLevelType w:val="hybridMultilevel"/>
    <w:tmpl w:val="9F76E4C0"/>
    <w:lvl w:ilvl="0" w:tplc="576A0F44">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4D11E5"/>
    <w:multiLevelType w:val="hybridMultilevel"/>
    <w:tmpl w:val="58623F62"/>
    <w:lvl w:ilvl="0" w:tplc="52B8F792">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193E81"/>
    <w:multiLevelType w:val="hybridMultilevel"/>
    <w:tmpl w:val="562AE5E4"/>
    <w:lvl w:ilvl="0" w:tplc="F4C618E4">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F8140F"/>
    <w:multiLevelType w:val="multilevel"/>
    <w:tmpl w:val="9454D324"/>
    <w:lvl w:ilvl="0">
      <w:start w:val="19"/>
      <w:numFmt w:val="decimal"/>
      <w:lvlText w:val="%1"/>
      <w:lvlJc w:val="left"/>
      <w:pPr>
        <w:ind w:left="375" w:hanging="375"/>
      </w:pPr>
      <w:rPr>
        <w:rFonts w:hint="default"/>
        <w:b/>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0EA61B05"/>
    <w:multiLevelType w:val="hybridMultilevel"/>
    <w:tmpl w:val="40E4CFE6"/>
    <w:lvl w:ilvl="0" w:tplc="38940E76">
      <w:start w:val="15"/>
      <w:numFmt w:val="decimal"/>
      <w:lvlText w:val="%1"/>
      <w:lvlJc w:val="left"/>
      <w:pPr>
        <w:ind w:left="1211" w:hanging="360"/>
      </w:pPr>
      <w:rPr>
        <w:rFonts w:hint="default"/>
        <w:b/>
      </w:r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6" w15:restartNumberingAfterBreak="0">
    <w:nsid w:val="11231B6A"/>
    <w:multiLevelType w:val="multilevel"/>
    <w:tmpl w:val="0410001F"/>
    <w:styleLink w:val="Sti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6E2680"/>
    <w:multiLevelType w:val="hybridMultilevel"/>
    <w:tmpl w:val="64187164"/>
    <w:lvl w:ilvl="0" w:tplc="C7A81E14">
      <w:start w:val="3"/>
      <w:numFmt w:val="decimal"/>
      <w:lvlText w:val="%1."/>
      <w:lvlJc w:val="left"/>
      <w:pPr>
        <w:ind w:left="1045" w:hanging="708"/>
      </w:pPr>
      <w:rPr>
        <w:rFonts w:hint="default"/>
        <w:b/>
      </w:r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abstractNum w:abstractNumId="8" w15:restartNumberingAfterBreak="0">
    <w:nsid w:val="16F60E06"/>
    <w:multiLevelType w:val="hybridMultilevel"/>
    <w:tmpl w:val="B0F8A24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A30D5E"/>
    <w:multiLevelType w:val="multilevel"/>
    <w:tmpl w:val="22022A08"/>
    <w:lvl w:ilvl="0">
      <w:start w:val="2"/>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C1A4BC1"/>
    <w:multiLevelType w:val="hybridMultilevel"/>
    <w:tmpl w:val="6888B702"/>
    <w:lvl w:ilvl="0" w:tplc="BE484D7E">
      <w:start w:val="1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C271AB"/>
    <w:multiLevelType w:val="multilevel"/>
    <w:tmpl w:val="00C6F00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B70F55"/>
    <w:multiLevelType w:val="hybridMultilevel"/>
    <w:tmpl w:val="D9423FC0"/>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3" w15:restartNumberingAfterBreak="0">
    <w:nsid w:val="27BC1DE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A7E70"/>
    <w:multiLevelType w:val="hybridMultilevel"/>
    <w:tmpl w:val="B0EA784E"/>
    <w:lvl w:ilvl="0" w:tplc="E5129628">
      <w:start w:val="1"/>
      <w:numFmt w:val="bullet"/>
      <w:lvlText w:val=""/>
      <w:lvlJc w:val="left"/>
      <w:pPr>
        <w:ind w:left="765" w:hanging="360"/>
      </w:pPr>
      <w:rPr>
        <w:rFonts w:ascii="Wingdings" w:hAnsi="Wingdings" w:hint="default"/>
        <w:b w:val="0"/>
        <w:color w:val="auto"/>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5" w15:restartNumberingAfterBreak="0">
    <w:nsid w:val="2B495B2A"/>
    <w:multiLevelType w:val="hybridMultilevel"/>
    <w:tmpl w:val="CDA00094"/>
    <w:lvl w:ilvl="0" w:tplc="739C9384">
      <w:start w:val="19"/>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2E6B6E43"/>
    <w:multiLevelType w:val="hybridMultilevel"/>
    <w:tmpl w:val="8BF248A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36D1CDE"/>
    <w:multiLevelType w:val="hybridMultilevel"/>
    <w:tmpl w:val="35E6465E"/>
    <w:lvl w:ilvl="0" w:tplc="599C2E8C">
      <w:start w:val="1"/>
      <w:numFmt w:val="decimal"/>
      <w:lvlText w:val="%1."/>
      <w:lvlJc w:val="left"/>
      <w:pPr>
        <w:ind w:left="765" w:hanging="360"/>
      </w:pPr>
      <w:rPr>
        <w:rFonts w:hint="default"/>
      </w:r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18" w15:restartNumberingAfterBreak="0">
    <w:nsid w:val="34D35024"/>
    <w:multiLevelType w:val="hybridMultilevel"/>
    <w:tmpl w:val="59720250"/>
    <w:lvl w:ilvl="0" w:tplc="C7A81E14">
      <w:start w:val="3"/>
      <w:numFmt w:val="decimal"/>
      <w:lvlText w:val="%1."/>
      <w:lvlJc w:val="left"/>
      <w:pPr>
        <w:ind w:left="992" w:hanging="708"/>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BE5263"/>
    <w:multiLevelType w:val="multilevel"/>
    <w:tmpl w:val="0818FD6A"/>
    <w:lvl w:ilvl="0">
      <w:start w:val="4"/>
      <w:numFmt w:val="decimal"/>
      <w:lvlText w:val="%1."/>
      <w:lvlJc w:val="left"/>
      <w:pPr>
        <w:ind w:left="992" w:hanging="708"/>
      </w:pPr>
      <w:rPr>
        <w:rFonts w:hint="default"/>
        <w:b/>
        <w:color w:val="0070C0"/>
      </w:rPr>
    </w:lvl>
    <w:lvl w:ilvl="1">
      <w:start w:val="1"/>
      <w:numFmt w:val="decimal"/>
      <w:isLgl/>
      <w:lvlText w:val="%1.%2."/>
      <w:lvlJc w:val="left"/>
      <w:pPr>
        <w:ind w:left="719" w:hanging="435"/>
      </w:pPr>
      <w:rPr>
        <w:rFonts w:hint="default"/>
        <w:color w:val="0070C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393E4002"/>
    <w:multiLevelType w:val="hybridMultilevel"/>
    <w:tmpl w:val="786E9ED8"/>
    <w:lvl w:ilvl="0" w:tplc="F4C618E4">
      <w:start w:val="4"/>
      <w:numFmt w:val="decimal"/>
      <w:lvlText w:val="%1."/>
      <w:lvlJc w:val="left"/>
      <w:pPr>
        <w:ind w:left="992" w:hanging="708"/>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AF210BA"/>
    <w:multiLevelType w:val="hybridMultilevel"/>
    <w:tmpl w:val="9BAA5182"/>
    <w:lvl w:ilvl="0" w:tplc="0410000F">
      <w:start w:val="1"/>
      <w:numFmt w:val="decimal"/>
      <w:lvlText w:val="%1."/>
      <w:lvlJc w:val="left"/>
      <w:pPr>
        <w:ind w:left="992" w:hanging="708"/>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3EA32F10"/>
    <w:multiLevelType w:val="hybridMultilevel"/>
    <w:tmpl w:val="F8D47ABC"/>
    <w:lvl w:ilvl="0" w:tplc="F4C618E4">
      <w:start w:val="4"/>
      <w:numFmt w:val="decimal"/>
      <w:lvlText w:val="%1."/>
      <w:lvlJc w:val="left"/>
      <w:pPr>
        <w:ind w:left="992" w:hanging="708"/>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B262FF"/>
    <w:multiLevelType w:val="hybridMultilevel"/>
    <w:tmpl w:val="1F34753C"/>
    <w:lvl w:ilvl="0" w:tplc="F4C618E4">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AE6FAE"/>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135A1C"/>
    <w:multiLevelType w:val="hybridMultilevel"/>
    <w:tmpl w:val="40963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F8154CD"/>
    <w:multiLevelType w:val="multilevel"/>
    <w:tmpl w:val="F16EB754"/>
    <w:lvl w:ilvl="0">
      <w:start w:val="1"/>
      <w:numFmt w:val="decimal"/>
      <w:lvlText w:val="%1."/>
      <w:lvlJc w:val="left"/>
      <w:pPr>
        <w:ind w:left="360" w:hanging="360"/>
      </w:pPr>
      <w:rPr>
        <w:rFonts w:hint="default"/>
      </w:rPr>
    </w:lvl>
    <w:lvl w:ilvl="1">
      <w:start w:val="1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19254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7609B2"/>
    <w:multiLevelType w:val="multilevel"/>
    <w:tmpl w:val="D2CA09E4"/>
    <w:lvl w:ilvl="0">
      <w:start w:val="18"/>
      <w:numFmt w:val="decimal"/>
      <w:lvlText w:val="%1."/>
      <w:lvlJc w:val="left"/>
      <w:pPr>
        <w:ind w:left="992" w:hanging="708"/>
      </w:pPr>
      <w:rPr>
        <w:rFonts w:hint="default"/>
        <w:b/>
        <w:color w:val="auto"/>
      </w:rPr>
    </w:lvl>
    <w:lvl w:ilvl="1">
      <w:start w:val="1"/>
      <w:numFmt w:val="decimal"/>
      <w:isLgl/>
      <w:lvlText w:val="%1.%2."/>
      <w:lvlJc w:val="left"/>
      <w:pPr>
        <w:ind w:left="719" w:hanging="435"/>
      </w:pPr>
      <w:rPr>
        <w:rFonts w:hint="default"/>
        <w:color w:val="0070C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557B247C"/>
    <w:multiLevelType w:val="multilevel"/>
    <w:tmpl w:val="4FE45872"/>
    <w:lvl w:ilvl="0">
      <w:start w:val="4"/>
      <w:numFmt w:val="decimal"/>
      <w:lvlText w:val="%1."/>
      <w:lvlJc w:val="left"/>
      <w:pPr>
        <w:ind w:left="992" w:hanging="708"/>
      </w:pPr>
      <w:rPr>
        <w:rFonts w:hint="default"/>
        <w:b/>
        <w:color w:val="auto"/>
      </w:rPr>
    </w:lvl>
    <w:lvl w:ilvl="1">
      <w:start w:val="1"/>
      <w:numFmt w:val="decimal"/>
      <w:isLgl/>
      <w:lvlText w:val="%1.%2."/>
      <w:lvlJc w:val="left"/>
      <w:pPr>
        <w:ind w:left="719" w:hanging="435"/>
      </w:pPr>
      <w:rPr>
        <w:rFonts w:hint="default"/>
        <w:color w:val="0070C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58CC5F73"/>
    <w:multiLevelType w:val="hybridMultilevel"/>
    <w:tmpl w:val="2E8AE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9031D3A"/>
    <w:multiLevelType w:val="multilevel"/>
    <w:tmpl w:val="BD6692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686D5B"/>
    <w:multiLevelType w:val="hybridMultilevel"/>
    <w:tmpl w:val="B8B205B4"/>
    <w:lvl w:ilvl="0" w:tplc="3CD04184">
      <w:start w:val="3"/>
      <w:numFmt w:val="decimal"/>
      <w:lvlText w:val="%1."/>
      <w:lvlJc w:val="left"/>
      <w:pPr>
        <w:ind w:left="992" w:hanging="708"/>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C950AD8"/>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6037A9"/>
    <w:multiLevelType w:val="hybridMultilevel"/>
    <w:tmpl w:val="27C868EC"/>
    <w:lvl w:ilvl="0" w:tplc="599C2E8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FC228B7"/>
    <w:multiLevelType w:val="multilevel"/>
    <w:tmpl w:val="80D4D892"/>
    <w:lvl w:ilvl="0">
      <w:start w:val="11"/>
      <w:numFmt w:val="decimal"/>
      <w:lvlText w:val="%1."/>
      <w:lvlJc w:val="left"/>
      <w:pPr>
        <w:ind w:left="1134" w:hanging="708"/>
      </w:pPr>
      <w:rPr>
        <w:rFonts w:hint="default"/>
        <w:b/>
        <w:color w:val="auto"/>
      </w:rPr>
    </w:lvl>
    <w:lvl w:ilvl="1">
      <w:start w:val="1"/>
      <w:numFmt w:val="decimal"/>
      <w:isLgl/>
      <w:lvlText w:val="%1.%2."/>
      <w:lvlJc w:val="left"/>
      <w:pPr>
        <w:ind w:left="861" w:hanging="435"/>
      </w:pPr>
      <w:rPr>
        <w:rFonts w:hint="default"/>
        <w:color w:val="0070C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6" w15:restartNumberingAfterBreak="0">
    <w:nsid w:val="71C01AB1"/>
    <w:multiLevelType w:val="hybridMultilevel"/>
    <w:tmpl w:val="5060F3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2376DA6"/>
    <w:multiLevelType w:val="multilevel"/>
    <w:tmpl w:val="1B28137C"/>
    <w:lvl w:ilvl="0">
      <w:start w:val="11"/>
      <w:numFmt w:val="decimal"/>
      <w:lvlText w:val="%1."/>
      <w:lvlJc w:val="left"/>
      <w:pPr>
        <w:ind w:left="992" w:hanging="708"/>
      </w:pPr>
      <w:rPr>
        <w:rFonts w:hint="default"/>
        <w:b/>
        <w:color w:val="0070C0"/>
      </w:rPr>
    </w:lvl>
    <w:lvl w:ilvl="1">
      <w:start w:val="1"/>
      <w:numFmt w:val="decimal"/>
      <w:isLgl/>
      <w:lvlText w:val="%1.%2."/>
      <w:lvlJc w:val="left"/>
      <w:pPr>
        <w:ind w:left="719" w:hanging="435"/>
      </w:pPr>
      <w:rPr>
        <w:rFonts w:hint="default"/>
        <w:color w:val="0070C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 w15:restartNumberingAfterBreak="0">
    <w:nsid w:val="78C4458F"/>
    <w:multiLevelType w:val="hybridMultilevel"/>
    <w:tmpl w:val="72B278FC"/>
    <w:lvl w:ilvl="0" w:tplc="C770B4C0">
      <w:start w:val="1"/>
      <w:numFmt w:val="decimal"/>
      <w:lvlText w:val="%1."/>
      <w:lvlJc w:val="left"/>
      <w:pPr>
        <w:ind w:left="992" w:hanging="708"/>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ADD3A64"/>
    <w:multiLevelType w:val="hybridMultilevel"/>
    <w:tmpl w:val="3094E5E4"/>
    <w:lvl w:ilvl="0" w:tplc="04100001">
      <w:start w:val="1"/>
      <w:numFmt w:val="bullet"/>
      <w:lvlText w:val=""/>
      <w:lvlJc w:val="left"/>
      <w:pPr>
        <w:ind w:left="815" w:hanging="360"/>
      </w:pPr>
      <w:rPr>
        <w:rFonts w:ascii="Symbol" w:hAnsi="Symbol" w:hint="default"/>
      </w:rPr>
    </w:lvl>
    <w:lvl w:ilvl="1" w:tplc="04100003" w:tentative="1">
      <w:start w:val="1"/>
      <w:numFmt w:val="bullet"/>
      <w:lvlText w:val="o"/>
      <w:lvlJc w:val="left"/>
      <w:pPr>
        <w:ind w:left="1535" w:hanging="360"/>
      </w:pPr>
      <w:rPr>
        <w:rFonts w:ascii="Courier New" w:hAnsi="Courier New" w:cs="Courier New" w:hint="default"/>
      </w:rPr>
    </w:lvl>
    <w:lvl w:ilvl="2" w:tplc="04100005" w:tentative="1">
      <w:start w:val="1"/>
      <w:numFmt w:val="bullet"/>
      <w:lvlText w:val=""/>
      <w:lvlJc w:val="left"/>
      <w:pPr>
        <w:ind w:left="2255" w:hanging="360"/>
      </w:pPr>
      <w:rPr>
        <w:rFonts w:ascii="Wingdings" w:hAnsi="Wingdings" w:hint="default"/>
      </w:rPr>
    </w:lvl>
    <w:lvl w:ilvl="3" w:tplc="04100001" w:tentative="1">
      <w:start w:val="1"/>
      <w:numFmt w:val="bullet"/>
      <w:lvlText w:val=""/>
      <w:lvlJc w:val="left"/>
      <w:pPr>
        <w:ind w:left="2975" w:hanging="360"/>
      </w:pPr>
      <w:rPr>
        <w:rFonts w:ascii="Symbol" w:hAnsi="Symbol" w:hint="default"/>
      </w:rPr>
    </w:lvl>
    <w:lvl w:ilvl="4" w:tplc="04100003" w:tentative="1">
      <w:start w:val="1"/>
      <w:numFmt w:val="bullet"/>
      <w:lvlText w:val="o"/>
      <w:lvlJc w:val="left"/>
      <w:pPr>
        <w:ind w:left="3695" w:hanging="360"/>
      </w:pPr>
      <w:rPr>
        <w:rFonts w:ascii="Courier New" w:hAnsi="Courier New" w:cs="Courier New" w:hint="default"/>
      </w:rPr>
    </w:lvl>
    <w:lvl w:ilvl="5" w:tplc="04100005" w:tentative="1">
      <w:start w:val="1"/>
      <w:numFmt w:val="bullet"/>
      <w:lvlText w:val=""/>
      <w:lvlJc w:val="left"/>
      <w:pPr>
        <w:ind w:left="4415" w:hanging="360"/>
      </w:pPr>
      <w:rPr>
        <w:rFonts w:ascii="Wingdings" w:hAnsi="Wingdings" w:hint="default"/>
      </w:rPr>
    </w:lvl>
    <w:lvl w:ilvl="6" w:tplc="04100001" w:tentative="1">
      <w:start w:val="1"/>
      <w:numFmt w:val="bullet"/>
      <w:lvlText w:val=""/>
      <w:lvlJc w:val="left"/>
      <w:pPr>
        <w:ind w:left="5135" w:hanging="360"/>
      </w:pPr>
      <w:rPr>
        <w:rFonts w:ascii="Symbol" w:hAnsi="Symbol" w:hint="default"/>
      </w:rPr>
    </w:lvl>
    <w:lvl w:ilvl="7" w:tplc="04100003" w:tentative="1">
      <w:start w:val="1"/>
      <w:numFmt w:val="bullet"/>
      <w:lvlText w:val="o"/>
      <w:lvlJc w:val="left"/>
      <w:pPr>
        <w:ind w:left="5855" w:hanging="360"/>
      </w:pPr>
      <w:rPr>
        <w:rFonts w:ascii="Courier New" w:hAnsi="Courier New" w:cs="Courier New" w:hint="default"/>
      </w:rPr>
    </w:lvl>
    <w:lvl w:ilvl="8" w:tplc="04100005" w:tentative="1">
      <w:start w:val="1"/>
      <w:numFmt w:val="bullet"/>
      <w:lvlText w:val=""/>
      <w:lvlJc w:val="left"/>
      <w:pPr>
        <w:ind w:left="6575" w:hanging="360"/>
      </w:pPr>
      <w:rPr>
        <w:rFonts w:ascii="Wingdings" w:hAnsi="Wingdings" w:hint="default"/>
      </w:rPr>
    </w:lvl>
  </w:abstractNum>
  <w:abstractNum w:abstractNumId="40" w15:restartNumberingAfterBreak="0">
    <w:nsid w:val="7E571726"/>
    <w:multiLevelType w:val="hybridMultilevel"/>
    <w:tmpl w:val="9E909D88"/>
    <w:lvl w:ilvl="0" w:tplc="0410000D">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1" w15:restartNumberingAfterBreak="0">
    <w:nsid w:val="7F1F1F1D"/>
    <w:multiLevelType w:val="hybridMultilevel"/>
    <w:tmpl w:val="8160BA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F9133A1"/>
    <w:multiLevelType w:val="multilevel"/>
    <w:tmpl w:val="B7420DF4"/>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40"/>
  </w:num>
  <w:num w:numId="3">
    <w:abstractNumId w:val="21"/>
  </w:num>
  <w:num w:numId="4">
    <w:abstractNumId w:val="39"/>
  </w:num>
  <w:num w:numId="5">
    <w:abstractNumId w:val="32"/>
  </w:num>
  <w:num w:numId="6">
    <w:abstractNumId w:val="38"/>
  </w:num>
  <w:num w:numId="7">
    <w:abstractNumId w:val="22"/>
  </w:num>
  <w:num w:numId="8">
    <w:abstractNumId w:val="29"/>
  </w:num>
  <w:num w:numId="9">
    <w:abstractNumId w:val="20"/>
  </w:num>
  <w:num w:numId="10">
    <w:abstractNumId w:val="18"/>
  </w:num>
  <w:num w:numId="11">
    <w:abstractNumId w:val="7"/>
  </w:num>
  <w:num w:numId="12">
    <w:abstractNumId w:val="1"/>
  </w:num>
  <w:num w:numId="13">
    <w:abstractNumId w:val="23"/>
  </w:num>
  <w:num w:numId="14">
    <w:abstractNumId w:val="3"/>
  </w:num>
  <w:num w:numId="15">
    <w:abstractNumId w:val="19"/>
  </w:num>
  <w:num w:numId="16">
    <w:abstractNumId w:val="4"/>
  </w:num>
  <w:num w:numId="17">
    <w:abstractNumId w:val="8"/>
  </w:num>
  <w:num w:numId="18">
    <w:abstractNumId w:val="15"/>
  </w:num>
  <w:num w:numId="19">
    <w:abstractNumId w:val="35"/>
  </w:num>
  <w:num w:numId="20">
    <w:abstractNumId w:val="37"/>
  </w:num>
  <w:num w:numId="21">
    <w:abstractNumId w:val="10"/>
  </w:num>
  <w:num w:numId="22">
    <w:abstractNumId w:val="5"/>
  </w:num>
  <w:num w:numId="23">
    <w:abstractNumId w:val="28"/>
  </w:num>
  <w:num w:numId="24">
    <w:abstractNumId w:val="13"/>
  </w:num>
  <w:num w:numId="25">
    <w:abstractNumId w:val="31"/>
  </w:num>
  <w:num w:numId="26">
    <w:abstractNumId w:val="9"/>
  </w:num>
  <w:num w:numId="27">
    <w:abstractNumId w:val="6"/>
  </w:num>
  <w:num w:numId="28">
    <w:abstractNumId w:val="27"/>
  </w:num>
  <w:num w:numId="29">
    <w:abstractNumId w:val="42"/>
  </w:num>
  <w:num w:numId="30">
    <w:abstractNumId w:val="41"/>
  </w:num>
  <w:num w:numId="31">
    <w:abstractNumId w:val="12"/>
  </w:num>
  <w:num w:numId="32">
    <w:abstractNumId w:val="30"/>
  </w:num>
  <w:num w:numId="33">
    <w:abstractNumId w:val="34"/>
  </w:num>
  <w:num w:numId="34">
    <w:abstractNumId w:val="25"/>
  </w:num>
  <w:num w:numId="35">
    <w:abstractNumId w:val="36"/>
  </w:num>
  <w:num w:numId="36">
    <w:abstractNumId w:val="17"/>
  </w:num>
  <w:num w:numId="37">
    <w:abstractNumId w:val="0"/>
  </w:num>
  <w:num w:numId="38">
    <w:abstractNumId w:val="33"/>
  </w:num>
  <w:num w:numId="39">
    <w:abstractNumId w:val="24"/>
  </w:num>
  <w:num w:numId="40">
    <w:abstractNumId w:val="2"/>
  </w:num>
  <w:num w:numId="41">
    <w:abstractNumId w:val="26"/>
  </w:num>
  <w:num w:numId="42">
    <w:abstractNumId w:val="11"/>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3C"/>
    <w:rsid w:val="000019E4"/>
    <w:rsid w:val="0002736E"/>
    <w:rsid w:val="00037E8A"/>
    <w:rsid w:val="00055EB8"/>
    <w:rsid w:val="00060C5F"/>
    <w:rsid w:val="00076FEC"/>
    <w:rsid w:val="00083056"/>
    <w:rsid w:val="0009553D"/>
    <w:rsid w:val="000A4D2E"/>
    <w:rsid w:val="000A5AC4"/>
    <w:rsid w:val="000A7DB7"/>
    <w:rsid w:val="000D29AB"/>
    <w:rsid w:val="000E4C60"/>
    <w:rsid w:val="000F44D7"/>
    <w:rsid w:val="000F5C8E"/>
    <w:rsid w:val="000F74EA"/>
    <w:rsid w:val="00106410"/>
    <w:rsid w:val="00110110"/>
    <w:rsid w:val="001135F4"/>
    <w:rsid w:val="00117A8B"/>
    <w:rsid w:val="00123A10"/>
    <w:rsid w:val="0012572D"/>
    <w:rsid w:val="001269CE"/>
    <w:rsid w:val="00133BCB"/>
    <w:rsid w:val="0014188F"/>
    <w:rsid w:val="00152506"/>
    <w:rsid w:val="00156FA5"/>
    <w:rsid w:val="001657AD"/>
    <w:rsid w:val="00165BF1"/>
    <w:rsid w:val="00173AC4"/>
    <w:rsid w:val="00181B60"/>
    <w:rsid w:val="001847A2"/>
    <w:rsid w:val="00184846"/>
    <w:rsid w:val="0018776E"/>
    <w:rsid w:val="00190E39"/>
    <w:rsid w:val="001943F5"/>
    <w:rsid w:val="001A1956"/>
    <w:rsid w:val="001A3D3B"/>
    <w:rsid w:val="001A43C9"/>
    <w:rsid w:val="001A7043"/>
    <w:rsid w:val="001C363C"/>
    <w:rsid w:val="001C4243"/>
    <w:rsid w:val="001D003C"/>
    <w:rsid w:val="001D63ED"/>
    <w:rsid w:val="001F1D70"/>
    <w:rsid w:val="0020215B"/>
    <w:rsid w:val="0020594E"/>
    <w:rsid w:val="00206A45"/>
    <w:rsid w:val="002149B8"/>
    <w:rsid w:val="00230F30"/>
    <w:rsid w:val="00242A69"/>
    <w:rsid w:val="00244475"/>
    <w:rsid w:val="00252855"/>
    <w:rsid w:val="00255C45"/>
    <w:rsid w:val="00262326"/>
    <w:rsid w:val="002646CC"/>
    <w:rsid w:val="00265902"/>
    <w:rsid w:val="00265C92"/>
    <w:rsid w:val="00267775"/>
    <w:rsid w:val="0027359F"/>
    <w:rsid w:val="002771C6"/>
    <w:rsid w:val="002851E7"/>
    <w:rsid w:val="002943E8"/>
    <w:rsid w:val="002A3725"/>
    <w:rsid w:val="002A6777"/>
    <w:rsid w:val="002B17CD"/>
    <w:rsid w:val="002C7345"/>
    <w:rsid w:val="002E47E0"/>
    <w:rsid w:val="003022DC"/>
    <w:rsid w:val="00307D04"/>
    <w:rsid w:val="00336CC8"/>
    <w:rsid w:val="003453A3"/>
    <w:rsid w:val="00351F9D"/>
    <w:rsid w:val="00354BCC"/>
    <w:rsid w:val="0037293E"/>
    <w:rsid w:val="003752DF"/>
    <w:rsid w:val="00377F5B"/>
    <w:rsid w:val="00380038"/>
    <w:rsid w:val="00384961"/>
    <w:rsid w:val="00385D54"/>
    <w:rsid w:val="00385EBE"/>
    <w:rsid w:val="003910A4"/>
    <w:rsid w:val="00392C5E"/>
    <w:rsid w:val="00394261"/>
    <w:rsid w:val="0039732F"/>
    <w:rsid w:val="003A486C"/>
    <w:rsid w:val="003A646F"/>
    <w:rsid w:val="003B284D"/>
    <w:rsid w:val="003D5D99"/>
    <w:rsid w:val="003E586D"/>
    <w:rsid w:val="003F038B"/>
    <w:rsid w:val="00403870"/>
    <w:rsid w:val="0040664C"/>
    <w:rsid w:val="00407FD8"/>
    <w:rsid w:val="00413024"/>
    <w:rsid w:val="004342EE"/>
    <w:rsid w:val="00435E88"/>
    <w:rsid w:val="004427DA"/>
    <w:rsid w:val="00455D3A"/>
    <w:rsid w:val="00466E7D"/>
    <w:rsid w:val="004743BE"/>
    <w:rsid w:val="004770A7"/>
    <w:rsid w:val="00485354"/>
    <w:rsid w:val="00487421"/>
    <w:rsid w:val="00487F6D"/>
    <w:rsid w:val="004A2B09"/>
    <w:rsid w:val="004A61D5"/>
    <w:rsid w:val="004C106D"/>
    <w:rsid w:val="004D3535"/>
    <w:rsid w:val="004E6F9C"/>
    <w:rsid w:val="004F73CF"/>
    <w:rsid w:val="00515A57"/>
    <w:rsid w:val="00526BA5"/>
    <w:rsid w:val="00536633"/>
    <w:rsid w:val="00536DC2"/>
    <w:rsid w:val="005464C6"/>
    <w:rsid w:val="0055160B"/>
    <w:rsid w:val="0055306E"/>
    <w:rsid w:val="00575B27"/>
    <w:rsid w:val="00581D88"/>
    <w:rsid w:val="005C0F36"/>
    <w:rsid w:val="005C75FA"/>
    <w:rsid w:val="005D79B4"/>
    <w:rsid w:val="005E1CD8"/>
    <w:rsid w:val="005E4607"/>
    <w:rsid w:val="005E611E"/>
    <w:rsid w:val="005F1F81"/>
    <w:rsid w:val="005F3EBC"/>
    <w:rsid w:val="00601117"/>
    <w:rsid w:val="00604A9A"/>
    <w:rsid w:val="00606867"/>
    <w:rsid w:val="00612FDC"/>
    <w:rsid w:val="0061778A"/>
    <w:rsid w:val="00630D21"/>
    <w:rsid w:val="006329CA"/>
    <w:rsid w:val="0063332F"/>
    <w:rsid w:val="00636B75"/>
    <w:rsid w:val="00650FA5"/>
    <w:rsid w:val="006722B3"/>
    <w:rsid w:val="00683C5C"/>
    <w:rsid w:val="0068685A"/>
    <w:rsid w:val="0069305B"/>
    <w:rsid w:val="006A5B9E"/>
    <w:rsid w:val="006C08B4"/>
    <w:rsid w:val="006C19C0"/>
    <w:rsid w:val="006D350D"/>
    <w:rsid w:val="006D5EA8"/>
    <w:rsid w:val="006D7112"/>
    <w:rsid w:val="006E00C5"/>
    <w:rsid w:val="006E2C85"/>
    <w:rsid w:val="006F1959"/>
    <w:rsid w:val="006F4DEE"/>
    <w:rsid w:val="00702A33"/>
    <w:rsid w:val="00712A06"/>
    <w:rsid w:val="0071399F"/>
    <w:rsid w:val="00723DC4"/>
    <w:rsid w:val="00735841"/>
    <w:rsid w:val="007449DF"/>
    <w:rsid w:val="00744D18"/>
    <w:rsid w:val="0074578C"/>
    <w:rsid w:val="00752D6F"/>
    <w:rsid w:val="007837A7"/>
    <w:rsid w:val="007847C2"/>
    <w:rsid w:val="007869E3"/>
    <w:rsid w:val="00793EB3"/>
    <w:rsid w:val="007A33FD"/>
    <w:rsid w:val="007D60DC"/>
    <w:rsid w:val="007D6B8F"/>
    <w:rsid w:val="007E1C98"/>
    <w:rsid w:val="007F03C4"/>
    <w:rsid w:val="00801AFE"/>
    <w:rsid w:val="008061FC"/>
    <w:rsid w:val="00825214"/>
    <w:rsid w:val="0083321B"/>
    <w:rsid w:val="00833AF1"/>
    <w:rsid w:val="008423E8"/>
    <w:rsid w:val="00855E5F"/>
    <w:rsid w:val="00866FDA"/>
    <w:rsid w:val="008743A1"/>
    <w:rsid w:val="008767C8"/>
    <w:rsid w:val="008820BE"/>
    <w:rsid w:val="008866E6"/>
    <w:rsid w:val="008A175C"/>
    <w:rsid w:val="008A1A54"/>
    <w:rsid w:val="008B59A0"/>
    <w:rsid w:val="008B7B21"/>
    <w:rsid w:val="008C347E"/>
    <w:rsid w:val="008D1C26"/>
    <w:rsid w:val="00903A90"/>
    <w:rsid w:val="00910ECD"/>
    <w:rsid w:val="00912AF5"/>
    <w:rsid w:val="00916189"/>
    <w:rsid w:val="00924B42"/>
    <w:rsid w:val="0092589E"/>
    <w:rsid w:val="009322C2"/>
    <w:rsid w:val="00962E76"/>
    <w:rsid w:val="009661B6"/>
    <w:rsid w:val="00971881"/>
    <w:rsid w:val="00980C0E"/>
    <w:rsid w:val="00982FAD"/>
    <w:rsid w:val="00993592"/>
    <w:rsid w:val="009941D8"/>
    <w:rsid w:val="009A2F9C"/>
    <w:rsid w:val="009C1B9A"/>
    <w:rsid w:val="009C41C0"/>
    <w:rsid w:val="009C71ED"/>
    <w:rsid w:val="009D0AB6"/>
    <w:rsid w:val="009D52B5"/>
    <w:rsid w:val="009D66BA"/>
    <w:rsid w:val="009E3201"/>
    <w:rsid w:val="009E4DE9"/>
    <w:rsid w:val="009E7714"/>
    <w:rsid w:val="009F081C"/>
    <w:rsid w:val="00A17265"/>
    <w:rsid w:val="00A22EAA"/>
    <w:rsid w:val="00A27045"/>
    <w:rsid w:val="00A541FF"/>
    <w:rsid w:val="00A57AC9"/>
    <w:rsid w:val="00A66F0E"/>
    <w:rsid w:val="00A66FDC"/>
    <w:rsid w:val="00A71ED9"/>
    <w:rsid w:val="00A73C26"/>
    <w:rsid w:val="00A865F8"/>
    <w:rsid w:val="00A86ADF"/>
    <w:rsid w:val="00A87BED"/>
    <w:rsid w:val="00A903D1"/>
    <w:rsid w:val="00A9698C"/>
    <w:rsid w:val="00AA6FE4"/>
    <w:rsid w:val="00AA7AE5"/>
    <w:rsid w:val="00AB4F3C"/>
    <w:rsid w:val="00AB754A"/>
    <w:rsid w:val="00B01AF6"/>
    <w:rsid w:val="00B03AFF"/>
    <w:rsid w:val="00B131E9"/>
    <w:rsid w:val="00B1443A"/>
    <w:rsid w:val="00B17160"/>
    <w:rsid w:val="00B17256"/>
    <w:rsid w:val="00B20C87"/>
    <w:rsid w:val="00B223BA"/>
    <w:rsid w:val="00B26C26"/>
    <w:rsid w:val="00B300FE"/>
    <w:rsid w:val="00B310EF"/>
    <w:rsid w:val="00B4433D"/>
    <w:rsid w:val="00B44712"/>
    <w:rsid w:val="00B6258F"/>
    <w:rsid w:val="00B75B6A"/>
    <w:rsid w:val="00B840CD"/>
    <w:rsid w:val="00B84EB9"/>
    <w:rsid w:val="00B86BD8"/>
    <w:rsid w:val="00B90CB9"/>
    <w:rsid w:val="00B96AC6"/>
    <w:rsid w:val="00BA57B6"/>
    <w:rsid w:val="00BF2676"/>
    <w:rsid w:val="00C15EB1"/>
    <w:rsid w:val="00C17409"/>
    <w:rsid w:val="00C21E77"/>
    <w:rsid w:val="00C2256E"/>
    <w:rsid w:val="00C35108"/>
    <w:rsid w:val="00C42971"/>
    <w:rsid w:val="00C5217B"/>
    <w:rsid w:val="00C7752E"/>
    <w:rsid w:val="00C82EB6"/>
    <w:rsid w:val="00C87CC2"/>
    <w:rsid w:val="00CA0759"/>
    <w:rsid w:val="00CA1618"/>
    <w:rsid w:val="00CA2888"/>
    <w:rsid w:val="00CA2C0E"/>
    <w:rsid w:val="00CA47CF"/>
    <w:rsid w:val="00CA5578"/>
    <w:rsid w:val="00CC02D5"/>
    <w:rsid w:val="00CC0B8F"/>
    <w:rsid w:val="00CD4E16"/>
    <w:rsid w:val="00CE4FB5"/>
    <w:rsid w:val="00CE542C"/>
    <w:rsid w:val="00D0508D"/>
    <w:rsid w:val="00D05AA7"/>
    <w:rsid w:val="00D20AC7"/>
    <w:rsid w:val="00D2227E"/>
    <w:rsid w:val="00D25F1E"/>
    <w:rsid w:val="00D2628C"/>
    <w:rsid w:val="00D3237E"/>
    <w:rsid w:val="00D45EE5"/>
    <w:rsid w:val="00D50995"/>
    <w:rsid w:val="00D65278"/>
    <w:rsid w:val="00D7146E"/>
    <w:rsid w:val="00D72786"/>
    <w:rsid w:val="00D74EC1"/>
    <w:rsid w:val="00D971CB"/>
    <w:rsid w:val="00DA1F6C"/>
    <w:rsid w:val="00DA336B"/>
    <w:rsid w:val="00DC0F90"/>
    <w:rsid w:val="00DC7FC1"/>
    <w:rsid w:val="00DD37BB"/>
    <w:rsid w:val="00DD57FC"/>
    <w:rsid w:val="00DD677B"/>
    <w:rsid w:val="00DE27D5"/>
    <w:rsid w:val="00DE79FE"/>
    <w:rsid w:val="00DF2F84"/>
    <w:rsid w:val="00E00B25"/>
    <w:rsid w:val="00E064F1"/>
    <w:rsid w:val="00E126D7"/>
    <w:rsid w:val="00E237BD"/>
    <w:rsid w:val="00E23B4E"/>
    <w:rsid w:val="00E30045"/>
    <w:rsid w:val="00E57588"/>
    <w:rsid w:val="00E70A40"/>
    <w:rsid w:val="00E849FD"/>
    <w:rsid w:val="00E975B0"/>
    <w:rsid w:val="00EB3C7E"/>
    <w:rsid w:val="00EB749F"/>
    <w:rsid w:val="00EC4A2D"/>
    <w:rsid w:val="00ED6919"/>
    <w:rsid w:val="00EF7BA7"/>
    <w:rsid w:val="00F15158"/>
    <w:rsid w:val="00F22857"/>
    <w:rsid w:val="00F22B70"/>
    <w:rsid w:val="00F33E60"/>
    <w:rsid w:val="00F37660"/>
    <w:rsid w:val="00F42910"/>
    <w:rsid w:val="00F61C51"/>
    <w:rsid w:val="00F71692"/>
    <w:rsid w:val="00F74731"/>
    <w:rsid w:val="00F767FF"/>
    <w:rsid w:val="00F849E9"/>
    <w:rsid w:val="00FB122B"/>
    <w:rsid w:val="00FC4027"/>
    <w:rsid w:val="00FC68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D90B"/>
  <w15:chartTrackingRefBased/>
  <w15:docId w15:val="{B0909ABA-DC8C-4B52-B4B1-FDA8E9DE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2F84"/>
  </w:style>
  <w:style w:type="paragraph" w:styleId="Titolo1">
    <w:name w:val="heading 1"/>
    <w:basedOn w:val="Normale"/>
    <w:next w:val="Normale"/>
    <w:link w:val="Titolo1Carattere"/>
    <w:uiPriority w:val="9"/>
    <w:qFormat/>
    <w:rsid w:val="00DF2F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DF2F8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Titolo3">
    <w:name w:val="heading 3"/>
    <w:basedOn w:val="Normale"/>
    <w:next w:val="Normale"/>
    <w:link w:val="Titolo3Carattere"/>
    <w:uiPriority w:val="9"/>
    <w:semiHidden/>
    <w:unhideWhenUsed/>
    <w:qFormat/>
    <w:rsid w:val="00DF2F84"/>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Titolo4">
    <w:name w:val="heading 4"/>
    <w:basedOn w:val="Normale"/>
    <w:next w:val="Normale"/>
    <w:link w:val="Titolo4Carattere"/>
    <w:uiPriority w:val="9"/>
    <w:semiHidden/>
    <w:unhideWhenUsed/>
    <w:qFormat/>
    <w:rsid w:val="00DF2F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DF2F84"/>
    <w:pPr>
      <w:keepNext/>
      <w:keepLines/>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DF2F84"/>
    <w:pPr>
      <w:keepNext/>
      <w:keepLines/>
      <w:spacing w:before="40" w:after="0"/>
      <w:outlineLvl w:val="5"/>
    </w:pPr>
    <w:rPr>
      <w:rFonts w:asciiTheme="majorHAnsi" w:eastAsiaTheme="majorEastAsia" w:hAnsiTheme="majorHAnsi" w:cstheme="majorBidi"/>
      <w:color w:val="1F4E79" w:themeColor="accent1" w:themeShade="80"/>
    </w:rPr>
  </w:style>
  <w:style w:type="paragraph" w:styleId="Titolo7">
    <w:name w:val="heading 7"/>
    <w:basedOn w:val="Normale"/>
    <w:next w:val="Normale"/>
    <w:link w:val="Titolo7Carattere"/>
    <w:uiPriority w:val="9"/>
    <w:semiHidden/>
    <w:unhideWhenUsed/>
    <w:qFormat/>
    <w:rsid w:val="00DF2F84"/>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Titolo8">
    <w:name w:val="heading 8"/>
    <w:basedOn w:val="Normale"/>
    <w:next w:val="Normale"/>
    <w:link w:val="Titolo8Carattere"/>
    <w:uiPriority w:val="9"/>
    <w:semiHidden/>
    <w:unhideWhenUsed/>
    <w:qFormat/>
    <w:rsid w:val="00DF2F8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Titolo9">
    <w:name w:val="heading 9"/>
    <w:basedOn w:val="Normale"/>
    <w:next w:val="Normale"/>
    <w:link w:val="Titolo9Carattere"/>
    <w:uiPriority w:val="9"/>
    <w:semiHidden/>
    <w:unhideWhenUsed/>
    <w:qFormat/>
    <w:rsid w:val="00DF2F8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01A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F2F84"/>
    <w:rPr>
      <w:b/>
      <w:bCs/>
      <w:color w:val="auto"/>
    </w:rPr>
  </w:style>
  <w:style w:type="paragraph" w:styleId="Paragrafoelenco">
    <w:name w:val="List Paragraph"/>
    <w:basedOn w:val="Normale"/>
    <w:uiPriority w:val="34"/>
    <w:qFormat/>
    <w:rsid w:val="00B01AF6"/>
    <w:pPr>
      <w:ind w:left="720"/>
      <w:contextualSpacing/>
    </w:pPr>
  </w:style>
  <w:style w:type="table" w:customStyle="1" w:styleId="TableNormal">
    <w:name w:val="Table Normal"/>
    <w:uiPriority w:val="2"/>
    <w:semiHidden/>
    <w:unhideWhenUsed/>
    <w:qFormat/>
    <w:rsid w:val="00407F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rsid w:val="00407FD8"/>
    <w:pPr>
      <w:widowControl w:val="0"/>
      <w:autoSpaceDE w:val="0"/>
      <w:autoSpaceDN w:val="0"/>
      <w:spacing w:before="91" w:after="0" w:line="240" w:lineRule="auto"/>
      <w:ind w:left="88"/>
    </w:pPr>
    <w:rPr>
      <w:rFonts w:ascii="Calibri" w:eastAsia="Calibri" w:hAnsi="Calibri" w:cs="Calibri"/>
    </w:rPr>
  </w:style>
  <w:style w:type="character" w:styleId="Enfasiintensa">
    <w:name w:val="Intense Emphasis"/>
    <w:basedOn w:val="Carpredefinitoparagrafo"/>
    <w:uiPriority w:val="21"/>
    <w:qFormat/>
    <w:rsid w:val="00DF2F84"/>
    <w:rPr>
      <w:i/>
      <w:iCs/>
      <w:color w:val="5B9BD5" w:themeColor="accent1"/>
    </w:rPr>
  </w:style>
  <w:style w:type="paragraph" w:customStyle="1" w:styleId="Default">
    <w:name w:val="Default"/>
    <w:rsid w:val="0083321B"/>
    <w:pPr>
      <w:autoSpaceDE w:val="0"/>
      <w:autoSpaceDN w:val="0"/>
      <w:adjustRightInd w:val="0"/>
      <w:spacing w:after="0" w:line="240" w:lineRule="auto"/>
    </w:pPr>
    <w:rPr>
      <w:rFonts w:ascii="Calibri" w:hAnsi="Calibri" w:cs="Calibri"/>
      <w:color w:val="000000"/>
      <w:sz w:val="24"/>
      <w:szCs w:val="24"/>
    </w:rPr>
  </w:style>
  <w:style w:type="numbering" w:customStyle="1" w:styleId="Stile1">
    <w:name w:val="Stile1"/>
    <w:uiPriority w:val="99"/>
    <w:rsid w:val="008061FC"/>
    <w:pPr>
      <w:numPr>
        <w:numId w:val="27"/>
      </w:numPr>
    </w:pPr>
  </w:style>
  <w:style w:type="character" w:customStyle="1" w:styleId="Titolo1Carattere">
    <w:name w:val="Titolo 1 Carattere"/>
    <w:basedOn w:val="Carpredefinitoparagrafo"/>
    <w:link w:val="Titolo1"/>
    <w:uiPriority w:val="9"/>
    <w:rsid w:val="00DF2F84"/>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semiHidden/>
    <w:rsid w:val="00DF2F84"/>
    <w:rPr>
      <w:rFonts w:asciiTheme="majorHAnsi" w:eastAsiaTheme="majorEastAsia" w:hAnsiTheme="majorHAnsi" w:cstheme="majorBidi"/>
      <w:color w:val="2E74B5" w:themeColor="accent1" w:themeShade="BF"/>
      <w:sz w:val="28"/>
      <w:szCs w:val="28"/>
    </w:rPr>
  </w:style>
  <w:style w:type="character" w:customStyle="1" w:styleId="Titolo3Carattere">
    <w:name w:val="Titolo 3 Carattere"/>
    <w:basedOn w:val="Carpredefinitoparagrafo"/>
    <w:link w:val="Titolo3"/>
    <w:uiPriority w:val="9"/>
    <w:semiHidden/>
    <w:rsid w:val="00DF2F84"/>
    <w:rPr>
      <w:rFonts w:asciiTheme="majorHAnsi" w:eastAsiaTheme="majorEastAsia" w:hAnsiTheme="majorHAnsi" w:cstheme="majorBidi"/>
      <w:color w:val="1F4E79" w:themeColor="accent1" w:themeShade="80"/>
      <w:sz w:val="24"/>
      <w:szCs w:val="24"/>
    </w:rPr>
  </w:style>
  <w:style w:type="character" w:customStyle="1" w:styleId="Titolo4Carattere">
    <w:name w:val="Titolo 4 Carattere"/>
    <w:basedOn w:val="Carpredefinitoparagrafo"/>
    <w:link w:val="Titolo4"/>
    <w:uiPriority w:val="9"/>
    <w:semiHidden/>
    <w:rsid w:val="00DF2F84"/>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uiPriority w:val="9"/>
    <w:semiHidden/>
    <w:rsid w:val="00DF2F84"/>
    <w:rPr>
      <w:rFonts w:asciiTheme="majorHAnsi" w:eastAsiaTheme="majorEastAsia" w:hAnsiTheme="majorHAnsi" w:cstheme="majorBidi"/>
      <w:color w:val="2E74B5" w:themeColor="accent1" w:themeShade="BF"/>
    </w:rPr>
  </w:style>
  <w:style w:type="character" w:customStyle="1" w:styleId="Titolo6Carattere">
    <w:name w:val="Titolo 6 Carattere"/>
    <w:basedOn w:val="Carpredefinitoparagrafo"/>
    <w:link w:val="Titolo6"/>
    <w:uiPriority w:val="9"/>
    <w:semiHidden/>
    <w:rsid w:val="00DF2F84"/>
    <w:rPr>
      <w:rFonts w:asciiTheme="majorHAnsi" w:eastAsiaTheme="majorEastAsia" w:hAnsiTheme="majorHAnsi" w:cstheme="majorBidi"/>
      <w:color w:val="1F4E79" w:themeColor="accent1" w:themeShade="80"/>
    </w:rPr>
  </w:style>
  <w:style w:type="character" w:customStyle="1" w:styleId="Titolo7Carattere">
    <w:name w:val="Titolo 7 Carattere"/>
    <w:basedOn w:val="Carpredefinitoparagrafo"/>
    <w:link w:val="Titolo7"/>
    <w:uiPriority w:val="9"/>
    <w:semiHidden/>
    <w:rsid w:val="00DF2F84"/>
    <w:rPr>
      <w:rFonts w:asciiTheme="majorHAnsi" w:eastAsiaTheme="majorEastAsia" w:hAnsiTheme="majorHAnsi" w:cstheme="majorBidi"/>
      <w:i/>
      <w:iCs/>
      <w:color w:val="1F4E79" w:themeColor="accent1" w:themeShade="80"/>
    </w:rPr>
  </w:style>
  <w:style w:type="character" w:customStyle="1" w:styleId="Titolo8Carattere">
    <w:name w:val="Titolo 8 Carattere"/>
    <w:basedOn w:val="Carpredefinitoparagrafo"/>
    <w:link w:val="Titolo8"/>
    <w:uiPriority w:val="9"/>
    <w:semiHidden/>
    <w:rsid w:val="00DF2F84"/>
    <w:rPr>
      <w:rFonts w:asciiTheme="majorHAnsi" w:eastAsiaTheme="majorEastAsia" w:hAnsiTheme="majorHAnsi" w:cstheme="majorBidi"/>
      <w:color w:val="262626" w:themeColor="text1" w:themeTint="D9"/>
      <w:sz w:val="21"/>
      <w:szCs w:val="21"/>
    </w:rPr>
  </w:style>
  <w:style w:type="character" w:customStyle="1" w:styleId="Titolo9Carattere">
    <w:name w:val="Titolo 9 Carattere"/>
    <w:basedOn w:val="Carpredefinitoparagrafo"/>
    <w:link w:val="Titolo9"/>
    <w:uiPriority w:val="9"/>
    <w:semiHidden/>
    <w:rsid w:val="00DF2F84"/>
    <w:rPr>
      <w:rFonts w:asciiTheme="majorHAnsi" w:eastAsiaTheme="majorEastAsia" w:hAnsiTheme="majorHAnsi" w:cstheme="majorBidi"/>
      <w:i/>
      <w:iCs/>
      <w:color w:val="262626" w:themeColor="text1" w:themeTint="D9"/>
      <w:sz w:val="21"/>
      <w:szCs w:val="21"/>
    </w:rPr>
  </w:style>
  <w:style w:type="paragraph" w:styleId="Didascalia">
    <w:name w:val="caption"/>
    <w:basedOn w:val="Normale"/>
    <w:next w:val="Normale"/>
    <w:uiPriority w:val="35"/>
    <w:semiHidden/>
    <w:unhideWhenUsed/>
    <w:qFormat/>
    <w:rsid w:val="00DF2F84"/>
    <w:pPr>
      <w:spacing w:after="200" w:line="240" w:lineRule="auto"/>
    </w:pPr>
    <w:rPr>
      <w:i/>
      <w:iCs/>
      <w:color w:val="44546A" w:themeColor="text2"/>
      <w:sz w:val="18"/>
      <w:szCs w:val="18"/>
    </w:rPr>
  </w:style>
  <w:style w:type="paragraph" w:styleId="Titolo">
    <w:name w:val="Title"/>
    <w:basedOn w:val="Normale"/>
    <w:next w:val="Normale"/>
    <w:link w:val="TitoloCarattere"/>
    <w:uiPriority w:val="10"/>
    <w:qFormat/>
    <w:rsid w:val="00DF2F84"/>
    <w:pPr>
      <w:spacing w:after="0" w:line="240" w:lineRule="auto"/>
      <w:contextualSpacing/>
    </w:pPr>
    <w:rPr>
      <w:rFonts w:asciiTheme="majorHAnsi" w:eastAsiaTheme="majorEastAsia" w:hAnsiTheme="majorHAnsi" w:cstheme="majorBidi"/>
      <w:spacing w:val="-10"/>
      <w:sz w:val="56"/>
      <w:szCs w:val="56"/>
    </w:rPr>
  </w:style>
  <w:style w:type="character" w:customStyle="1" w:styleId="TitoloCarattere">
    <w:name w:val="Titolo Carattere"/>
    <w:basedOn w:val="Carpredefinitoparagrafo"/>
    <w:link w:val="Titolo"/>
    <w:uiPriority w:val="10"/>
    <w:rsid w:val="00DF2F84"/>
    <w:rPr>
      <w:rFonts w:asciiTheme="majorHAnsi" w:eastAsiaTheme="majorEastAsia" w:hAnsiTheme="majorHAnsi" w:cstheme="majorBidi"/>
      <w:spacing w:val="-10"/>
      <w:sz w:val="56"/>
      <w:szCs w:val="56"/>
    </w:rPr>
  </w:style>
  <w:style w:type="paragraph" w:styleId="Sottotitolo">
    <w:name w:val="Subtitle"/>
    <w:basedOn w:val="Normale"/>
    <w:next w:val="Normale"/>
    <w:link w:val="SottotitoloCarattere"/>
    <w:uiPriority w:val="11"/>
    <w:qFormat/>
    <w:rsid w:val="00DF2F84"/>
    <w:pPr>
      <w:numPr>
        <w:ilvl w:val="1"/>
      </w:numPr>
    </w:pPr>
    <w:rPr>
      <w:color w:val="5A5A5A" w:themeColor="text1" w:themeTint="A5"/>
      <w:spacing w:val="15"/>
    </w:rPr>
  </w:style>
  <w:style w:type="character" w:customStyle="1" w:styleId="SottotitoloCarattere">
    <w:name w:val="Sottotitolo Carattere"/>
    <w:basedOn w:val="Carpredefinitoparagrafo"/>
    <w:link w:val="Sottotitolo"/>
    <w:uiPriority w:val="11"/>
    <w:rsid w:val="00DF2F84"/>
    <w:rPr>
      <w:color w:val="5A5A5A" w:themeColor="text1" w:themeTint="A5"/>
      <w:spacing w:val="15"/>
    </w:rPr>
  </w:style>
  <w:style w:type="character" w:styleId="Enfasicorsivo">
    <w:name w:val="Emphasis"/>
    <w:basedOn w:val="Carpredefinitoparagrafo"/>
    <w:uiPriority w:val="20"/>
    <w:qFormat/>
    <w:rsid w:val="00DF2F84"/>
    <w:rPr>
      <w:i/>
      <w:iCs/>
      <w:color w:val="auto"/>
    </w:rPr>
  </w:style>
  <w:style w:type="paragraph" w:styleId="Nessunaspaziatura">
    <w:name w:val="No Spacing"/>
    <w:uiPriority w:val="1"/>
    <w:qFormat/>
    <w:rsid w:val="00DF2F84"/>
    <w:pPr>
      <w:spacing w:after="0" w:line="240" w:lineRule="auto"/>
    </w:pPr>
  </w:style>
  <w:style w:type="paragraph" w:styleId="Citazione">
    <w:name w:val="Quote"/>
    <w:basedOn w:val="Normale"/>
    <w:next w:val="Normale"/>
    <w:link w:val="CitazioneCarattere"/>
    <w:uiPriority w:val="29"/>
    <w:qFormat/>
    <w:rsid w:val="00DF2F84"/>
    <w:pPr>
      <w:spacing w:before="200"/>
      <w:ind w:left="864" w:right="864"/>
    </w:pPr>
    <w:rPr>
      <w:i/>
      <w:iCs/>
      <w:color w:val="404040" w:themeColor="text1" w:themeTint="BF"/>
    </w:rPr>
  </w:style>
  <w:style w:type="character" w:customStyle="1" w:styleId="CitazioneCarattere">
    <w:name w:val="Citazione Carattere"/>
    <w:basedOn w:val="Carpredefinitoparagrafo"/>
    <w:link w:val="Citazione"/>
    <w:uiPriority w:val="29"/>
    <w:rsid w:val="00DF2F84"/>
    <w:rPr>
      <w:i/>
      <w:iCs/>
      <w:color w:val="404040" w:themeColor="text1" w:themeTint="BF"/>
    </w:rPr>
  </w:style>
  <w:style w:type="paragraph" w:styleId="Citazioneintensa">
    <w:name w:val="Intense Quote"/>
    <w:basedOn w:val="Normale"/>
    <w:next w:val="Normale"/>
    <w:link w:val="CitazioneintensaCarattere"/>
    <w:uiPriority w:val="30"/>
    <w:qFormat/>
    <w:rsid w:val="00DF2F8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zioneintensaCarattere">
    <w:name w:val="Citazione intensa Carattere"/>
    <w:basedOn w:val="Carpredefinitoparagrafo"/>
    <w:link w:val="Citazioneintensa"/>
    <w:uiPriority w:val="30"/>
    <w:rsid w:val="00DF2F84"/>
    <w:rPr>
      <w:i/>
      <w:iCs/>
      <w:color w:val="5B9BD5" w:themeColor="accent1"/>
    </w:rPr>
  </w:style>
  <w:style w:type="character" w:styleId="Enfasidelicata">
    <w:name w:val="Subtle Emphasis"/>
    <w:basedOn w:val="Carpredefinitoparagrafo"/>
    <w:uiPriority w:val="19"/>
    <w:qFormat/>
    <w:rsid w:val="00DF2F84"/>
    <w:rPr>
      <w:i/>
      <w:iCs/>
      <w:color w:val="404040" w:themeColor="text1" w:themeTint="BF"/>
    </w:rPr>
  </w:style>
  <w:style w:type="character" w:styleId="Riferimentodelicato">
    <w:name w:val="Subtle Reference"/>
    <w:basedOn w:val="Carpredefinitoparagrafo"/>
    <w:uiPriority w:val="31"/>
    <w:qFormat/>
    <w:rsid w:val="00DF2F84"/>
    <w:rPr>
      <w:smallCaps/>
      <w:color w:val="404040" w:themeColor="text1" w:themeTint="BF"/>
    </w:rPr>
  </w:style>
  <w:style w:type="character" w:styleId="Riferimentointenso">
    <w:name w:val="Intense Reference"/>
    <w:basedOn w:val="Carpredefinitoparagrafo"/>
    <w:uiPriority w:val="32"/>
    <w:qFormat/>
    <w:rsid w:val="00DF2F84"/>
    <w:rPr>
      <w:b/>
      <w:bCs/>
      <w:smallCaps/>
      <w:color w:val="5B9BD5" w:themeColor="accent1"/>
      <w:spacing w:val="5"/>
    </w:rPr>
  </w:style>
  <w:style w:type="character" w:styleId="Titolodellibro">
    <w:name w:val="Book Title"/>
    <w:basedOn w:val="Carpredefinitoparagrafo"/>
    <w:uiPriority w:val="33"/>
    <w:qFormat/>
    <w:rsid w:val="00DF2F84"/>
    <w:rPr>
      <w:b/>
      <w:bCs/>
      <w:i/>
      <w:iCs/>
      <w:spacing w:val="5"/>
    </w:rPr>
  </w:style>
  <w:style w:type="paragraph" w:styleId="Titolosommario">
    <w:name w:val="TOC Heading"/>
    <w:basedOn w:val="Titolo1"/>
    <w:next w:val="Normale"/>
    <w:uiPriority w:val="39"/>
    <w:semiHidden/>
    <w:unhideWhenUsed/>
    <w:qFormat/>
    <w:rsid w:val="00DF2F84"/>
    <w:pPr>
      <w:outlineLvl w:val="9"/>
    </w:pPr>
  </w:style>
  <w:style w:type="paragraph" w:styleId="Testofumetto">
    <w:name w:val="Balloon Text"/>
    <w:basedOn w:val="Normale"/>
    <w:link w:val="TestofumettoCarattere"/>
    <w:uiPriority w:val="99"/>
    <w:semiHidden/>
    <w:unhideWhenUsed/>
    <w:rsid w:val="00A1726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17265"/>
    <w:rPr>
      <w:rFonts w:ascii="Segoe UI" w:hAnsi="Segoe UI" w:cs="Segoe UI"/>
      <w:sz w:val="18"/>
      <w:szCs w:val="18"/>
    </w:rPr>
  </w:style>
  <w:style w:type="paragraph" w:styleId="Intestazione">
    <w:name w:val="header"/>
    <w:basedOn w:val="Normale"/>
    <w:link w:val="IntestazioneCarattere"/>
    <w:uiPriority w:val="99"/>
    <w:unhideWhenUsed/>
    <w:rsid w:val="00F151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5158"/>
  </w:style>
  <w:style w:type="paragraph" w:styleId="Pidipagina">
    <w:name w:val="footer"/>
    <w:basedOn w:val="Normale"/>
    <w:link w:val="PidipaginaCarattere"/>
    <w:uiPriority w:val="99"/>
    <w:unhideWhenUsed/>
    <w:rsid w:val="00F151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158"/>
  </w:style>
  <w:style w:type="character" w:styleId="Rimandocommento">
    <w:name w:val="annotation reference"/>
    <w:basedOn w:val="Carpredefinitoparagrafo"/>
    <w:uiPriority w:val="99"/>
    <w:semiHidden/>
    <w:unhideWhenUsed/>
    <w:rsid w:val="00380038"/>
    <w:rPr>
      <w:sz w:val="16"/>
      <w:szCs w:val="16"/>
    </w:rPr>
  </w:style>
  <w:style w:type="paragraph" w:styleId="Testocommento">
    <w:name w:val="annotation text"/>
    <w:basedOn w:val="Normale"/>
    <w:link w:val="TestocommentoCarattere"/>
    <w:uiPriority w:val="99"/>
    <w:semiHidden/>
    <w:unhideWhenUsed/>
    <w:rsid w:val="0038003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80038"/>
    <w:rPr>
      <w:sz w:val="20"/>
      <w:szCs w:val="20"/>
    </w:rPr>
  </w:style>
  <w:style w:type="paragraph" w:styleId="Soggettocommento">
    <w:name w:val="annotation subject"/>
    <w:basedOn w:val="Testocommento"/>
    <w:next w:val="Testocommento"/>
    <w:link w:val="SoggettocommentoCarattere"/>
    <w:uiPriority w:val="99"/>
    <w:semiHidden/>
    <w:unhideWhenUsed/>
    <w:rsid w:val="00380038"/>
    <w:rPr>
      <w:b/>
      <w:bCs/>
    </w:rPr>
  </w:style>
  <w:style w:type="character" w:customStyle="1" w:styleId="SoggettocommentoCarattere">
    <w:name w:val="Soggetto commento Carattere"/>
    <w:basedOn w:val="TestocommentoCarattere"/>
    <w:link w:val="Soggettocommento"/>
    <w:uiPriority w:val="99"/>
    <w:semiHidden/>
    <w:rsid w:val="003800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1281">
      <w:bodyDiv w:val="1"/>
      <w:marLeft w:val="0"/>
      <w:marRight w:val="0"/>
      <w:marTop w:val="0"/>
      <w:marBottom w:val="0"/>
      <w:divBdr>
        <w:top w:val="none" w:sz="0" w:space="0" w:color="auto"/>
        <w:left w:val="none" w:sz="0" w:space="0" w:color="auto"/>
        <w:bottom w:val="none" w:sz="0" w:space="0" w:color="auto"/>
        <w:right w:val="none" w:sz="0" w:space="0" w:color="auto"/>
      </w:divBdr>
    </w:div>
    <w:div w:id="964579528">
      <w:bodyDiv w:val="1"/>
      <w:marLeft w:val="0"/>
      <w:marRight w:val="0"/>
      <w:marTop w:val="0"/>
      <w:marBottom w:val="0"/>
      <w:divBdr>
        <w:top w:val="none" w:sz="0" w:space="0" w:color="auto"/>
        <w:left w:val="none" w:sz="0" w:space="0" w:color="auto"/>
        <w:bottom w:val="none" w:sz="0" w:space="0" w:color="auto"/>
        <w:right w:val="none" w:sz="0" w:space="0" w:color="auto"/>
      </w:divBdr>
    </w:div>
    <w:div w:id="145595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9B15-9A83-422A-BC05-553AF15C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7076</TotalTime>
  <Pages>12</Pages>
  <Words>4961</Words>
  <Characters>28283</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Ricciuti Maria Iolanda</dc:creator>
  <cp:keywords/>
  <dc:description/>
  <cp:lastModifiedBy>Ricciuti Maria Iolanda</cp:lastModifiedBy>
  <cp:revision>303</cp:revision>
  <cp:lastPrinted>2025-03-14T08:08:00Z</cp:lastPrinted>
  <dcterms:created xsi:type="dcterms:W3CDTF">2025-02-03T12:37:00Z</dcterms:created>
  <dcterms:modified xsi:type="dcterms:W3CDTF">2025-03-19T12:16:00Z</dcterms:modified>
</cp:coreProperties>
</file>